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6028" w14:textId="77777777" w:rsidR="00E020B7" w:rsidRDefault="00E020B7" w:rsidP="000350E3">
      <w:pPr>
        <w:spacing w:line="276" w:lineRule="auto"/>
        <w:jc w:val="center"/>
        <w:rPr>
          <w:rFonts w:ascii="Arial" w:hAnsi="Arial" w:cs="Arial"/>
          <w:b/>
          <w:bCs/>
          <w:sz w:val="25"/>
          <w:szCs w:val="25"/>
        </w:rPr>
      </w:pPr>
    </w:p>
    <w:p w14:paraId="66D80379" w14:textId="77777777" w:rsidR="00E020B7" w:rsidRDefault="00E020B7" w:rsidP="000350E3">
      <w:pPr>
        <w:spacing w:line="276" w:lineRule="auto"/>
        <w:jc w:val="center"/>
        <w:rPr>
          <w:rFonts w:ascii="Arial" w:hAnsi="Arial" w:cs="Arial"/>
          <w:b/>
          <w:bCs/>
          <w:sz w:val="25"/>
          <w:szCs w:val="25"/>
        </w:rPr>
      </w:pPr>
    </w:p>
    <w:p w14:paraId="45070EC7" w14:textId="6B9AFA8A" w:rsidR="008E47C5" w:rsidRPr="000350E3" w:rsidRDefault="00CA1BDF" w:rsidP="00E020B7">
      <w:pPr>
        <w:spacing w:line="276" w:lineRule="auto"/>
        <w:jc w:val="center"/>
        <w:rPr>
          <w:rFonts w:ascii="Arial" w:hAnsi="Arial" w:cs="Arial"/>
          <w:b/>
          <w:bCs/>
          <w:sz w:val="25"/>
          <w:szCs w:val="25"/>
        </w:rPr>
      </w:pPr>
      <w:r w:rsidRPr="000350E3">
        <w:rPr>
          <w:rFonts w:ascii="Arial" w:hAnsi="Arial" w:cs="Arial"/>
          <w:b/>
          <w:bCs/>
          <w:sz w:val="25"/>
          <w:szCs w:val="25"/>
        </w:rPr>
        <w:t xml:space="preserve">FONDOS COLECTIVOS ANTE LA JUSTICIA: </w:t>
      </w:r>
      <w:r w:rsidR="00E020B7">
        <w:rPr>
          <w:rFonts w:ascii="Arial" w:hAnsi="Arial" w:cs="Arial"/>
          <w:b/>
          <w:bCs/>
          <w:i/>
          <w:iCs/>
          <w:sz w:val="25"/>
          <w:szCs w:val="25"/>
        </w:rPr>
        <w:t>¿</w:t>
      </w:r>
      <w:r w:rsidRPr="00E020B7">
        <w:rPr>
          <w:rFonts w:ascii="Arial" w:hAnsi="Arial" w:cs="Arial"/>
          <w:b/>
          <w:bCs/>
          <w:i/>
          <w:iCs/>
          <w:sz w:val="25"/>
          <w:szCs w:val="25"/>
        </w:rPr>
        <w:t>TIPIFICACIÓN PENAL POR ESTAFA, RESPONSABILIDAD CONTRACTUAL</w:t>
      </w:r>
      <w:r w:rsidR="00DE2B9C">
        <w:rPr>
          <w:rFonts w:ascii="Arial" w:hAnsi="Arial" w:cs="Arial"/>
          <w:b/>
          <w:bCs/>
          <w:i/>
          <w:iCs/>
          <w:sz w:val="25"/>
          <w:szCs w:val="25"/>
        </w:rPr>
        <w:t xml:space="preserve"> O</w:t>
      </w:r>
      <w:r w:rsidRPr="00E020B7">
        <w:rPr>
          <w:rFonts w:ascii="Arial" w:hAnsi="Arial" w:cs="Arial"/>
          <w:b/>
          <w:bCs/>
          <w:i/>
          <w:iCs/>
          <w:sz w:val="25"/>
          <w:szCs w:val="25"/>
        </w:rPr>
        <w:t xml:space="preserve"> INFRACCIÓN A LA NORMATIVA DE PROTECCIÓN AL CONSUMIDOR</w:t>
      </w:r>
      <w:r w:rsidR="00E020B7">
        <w:rPr>
          <w:rFonts w:ascii="Arial" w:hAnsi="Arial" w:cs="Arial"/>
          <w:b/>
          <w:bCs/>
          <w:i/>
          <w:iCs/>
          <w:sz w:val="25"/>
          <w:szCs w:val="25"/>
        </w:rPr>
        <w:t>?</w:t>
      </w:r>
    </w:p>
    <w:p w14:paraId="411BCC4D" w14:textId="77777777" w:rsidR="00E020B7" w:rsidRDefault="00E020B7" w:rsidP="000350E3">
      <w:pPr>
        <w:spacing w:line="276" w:lineRule="auto"/>
        <w:jc w:val="both"/>
        <w:rPr>
          <w:rFonts w:ascii="Arial" w:hAnsi="Arial" w:cs="Arial"/>
          <w:sz w:val="25"/>
          <w:szCs w:val="25"/>
        </w:rPr>
      </w:pPr>
    </w:p>
    <w:p w14:paraId="591FE2EF" w14:textId="44927192" w:rsidR="00521CF4" w:rsidRPr="00E020B7" w:rsidRDefault="00521CF4" w:rsidP="00E020B7">
      <w:pPr>
        <w:spacing w:line="276" w:lineRule="auto"/>
        <w:ind w:left="2268"/>
        <w:jc w:val="both"/>
        <w:rPr>
          <w:rFonts w:ascii="Arial" w:hAnsi="Arial" w:cs="Arial"/>
          <w:i/>
          <w:iCs/>
          <w:sz w:val="25"/>
          <w:szCs w:val="25"/>
        </w:rPr>
      </w:pPr>
      <w:r w:rsidRPr="00E020B7">
        <w:rPr>
          <w:rFonts w:ascii="Arial" w:hAnsi="Arial" w:cs="Arial"/>
          <w:i/>
          <w:iCs/>
          <w:sz w:val="25"/>
          <w:szCs w:val="25"/>
        </w:rPr>
        <w:t>FRANKSHESCOLI SHAMIR CABREJOS ÁLVAREZ*</w:t>
      </w:r>
      <w:r w:rsidRPr="00E020B7">
        <w:rPr>
          <w:rStyle w:val="Refdenotaalpie"/>
          <w:rFonts w:ascii="Arial" w:hAnsi="Arial" w:cs="Arial"/>
          <w:i/>
          <w:iCs/>
          <w:sz w:val="25"/>
          <w:szCs w:val="25"/>
        </w:rPr>
        <w:footnoteReference w:id="1"/>
      </w:r>
    </w:p>
    <w:p w14:paraId="5D627035" w14:textId="2AFFB137" w:rsidR="00521CF4" w:rsidRPr="00E020B7" w:rsidRDefault="00521CF4" w:rsidP="00E020B7">
      <w:pPr>
        <w:spacing w:line="276" w:lineRule="auto"/>
        <w:ind w:left="2268"/>
        <w:jc w:val="both"/>
        <w:rPr>
          <w:rFonts w:ascii="Arial" w:hAnsi="Arial" w:cs="Arial"/>
          <w:i/>
          <w:iCs/>
          <w:sz w:val="25"/>
          <w:szCs w:val="25"/>
        </w:rPr>
      </w:pPr>
      <w:r w:rsidRPr="00E020B7">
        <w:rPr>
          <w:rFonts w:ascii="Arial" w:hAnsi="Arial" w:cs="Arial"/>
          <w:i/>
          <w:iCs/>
          <w:sz w:val="25"/>
          <w:szCs w:val="25"/>
        </w:rPr>
        <w:t>DIANA ESTEFANY SANTOS SANCHEZ¨**</w:t>
      </w:r>
      <w:r w:rsidRPr="00E020B7">
        <w:rPr>
          <w:rStyle w:val="Refdenotaalpie"/>
          <w:rFonts w:ascii="Arial" w:hAnsi="Arial" w:cs="Arial"/>
          <w:i/>
          <w:iCs/>
          <w:sz w:val="25"/>
          <w:szCs w:val="25"/>
        </w:rPr>
        <w:footnoteReference w:id="2"/>
      </w:r>
    </w:p>
    <w:p w14:paraId="674F0115" w14:textId="77777777" w:rsidR="00E020B7" w:rsidRDefault="00E020B7" w:rsidP="000350E3">
      <w:pPr>
        <w:spacing w:line="276" w:lineRule="auto"/>
        <w:jc w:val="both"/>
        <w:rPr>
          <w:rFonts w:ascii="Arial" w:hAnsi="Arial" w:cs="Arial"/>
          <w:b/>
          <w:bCs/>
          <w:sz w:val="25"/>
          <w:szCs w:val="25"/>
        </w:rPr>
      </w:pPr>
    </w:p>
    <w:p w14:paraId="3ACECB33" w14:textId="62796CC7" w:rsidR="008E47C5" w:rsidRPr="000350E3" w:rsidRDefault="00B47335" w:rsidP="000350E3">
      <w:pPr>
        <w:spacing w:line="276" w:lineRule="auto"/>
        <w:jc w:val="both"/>
        <w:rPr>
          <w:rFonts w:ascii="Arial" w:hAnsi="Arial" w:cs="Arial"/>
          <w:b/>
          <w:bCs/>
          <w:sz w:val="25"/>
          <w:szCs w:val="25"/>
        </w:rPr>
      </w:pPr>
      <w:r w:rsidRPr="000350E3">
        <w:rPr>
          <w:rFonts w:ascii="Arial" w:hAnsi="Arial" w:cs="Arial"/>
          <w:b/>
          <w:bCs/>
          <w:sz w:val="25"/>
          <w:szCs w:val="25"/>
        </w:rPr>
        <w:t>I. INTRODUCCIÓN</w:t>
      </w:r>
    </w:p>
    <w:p w14:paraId="78B49DA6" w14:textId="77777777" w:rsidR="000350E3" w:rsidRPr="000350E3" w:rsidRDefault="000350E3" w:rsidP="000350E3">
      <w:pPr>
        <w:spacing w:line="276" w:lineRule="auto"/>
        <w:jc w:val="both"/>
        <w:rPr>
          <w:rFonts w:ascii="Arial" w:hAnsi="Arial" w:cs="Arial"/>
          <w:sz w:val="25"/>
          <w:szCs w:val="25"/>
        </w:rPr>
      </w:pPr>
    </w:p>
    <w:p w14:paraId="58D1F7FD" w14:textId="77777777" w:rsidR="00E020B7" w:rsidRDefault="00B47335" w:rsidP="000350E3">
      <w:pPr>
        <w:spacing w:line="276" w:lineRule="auto"/>
        <w:jc w:val="both"/>
        <w:rPr>
          <w:rFonts w:ascii="Arial" w:hAnsi="Arial" w:cs="Arial"/>
          <w:sz w:val="25"/>
          <w:szCs w:val="25"/>
        </w:rPr>
      </w:pPr>
      <w:r w:rsidRPr="0089460F">
        <w:rPr>
          <w:rFonts w:ascii="Arial" w:hAnsi="Arial" w:cs="Arial"/>
          <w:sz w:val="25"/>
          <w:szCs w:val="25"/>
        </w:rPr>
        <w:t xml:space="preserve">En </w:t>
      </w:r>
      <w:r w:rsidR="000350E3" w:rsidRPr="0089460F">
        <w:rPr>
          <w:rFonts w:ascii="Arial" w:hAnsi="Arial" w:cs="Arial"/>
          <w:sz w:val="25"/>
          <w:szCs w:val="25"/>
        </w:rPr>
        <w:t>estos</w:t>
      </w:r>
      <w:r w:rsidRPr="0089460F">
        <w:rPr>
          <w:rFonts w:ascii="Arial" w:hAnsi="Arial" w:cs="Arial"/>
          <w:sz w:val="25"/>
          <w:szCs w:val="25"/>
        </w:rPr>
        <w:t xml:space="preserve"> últimos años, el sistema de fondos colectivos ha experimentado un notable crecimiento en el Perú, consolidándose como una alternativa de acceso a vehículos e inmuebles a través de un mecanismo de ahorro programado y adjudicación periódica. </w:t>
      </w:r>
    </w:p>
    <w:p w14:paraId="12CD2EDE" w14:textId="77777777" w:rsidR="00E020B7" w:rsidRDefault="00E020B7" w:rsidP="000350E3">
      <w:pPr>
        <w:spacing w:line="276" w:lineRule="auto"/>
        <w:jc w:val="both"/>
        <w:rPr>
          <w:rFonts w:ascii="Arial" w:hAnsi="Arial" w:cs="Arial"/>
          <w:sz w:val="25"/>
          <w:szCs w:val="25"/>
        </w:rPr>
      </w:pPr>
    </w:p>
    <w:p w14:paraId="2A563460" w14:textId="0A2399BA" w:rsidR="008E47C5" w:rsidRPr="0089460F" w:rsidRDefault="00B47335" w:rsidP="000350E3">
      <w:pPr>
        <w:spacing w:line="276" w:lineRule="auto"/>
        <w:jc w:val="both"/>
        <w:rPr>
          <w:rFonts w:ascii="Arial" w:hAnsi="Arial" w:cs="Arial"/>
          <w:sz w:val="25"/>
          <w:szCs w:val="25"/>
        </w:rPr>
      </w:pPr>
      <w:r w:rsidRPr="0089460F">
        <w:rPr>
          <w:rFonts w:ascii="Arial" w:hAnsi="Arial" w:cs="Arial"/>
          <w:sz w:val="25"/>
          <w:szCs w:val="25"/>
        </w:rPr>
        <w:t>Sin embargo, este crecimiento ha venido acompañado de un incremento igualmente notable de conflictos entre las empresas administradoras y los adherentes, quienes, ante el incumplimiento de sus expectativas, recurren a diversas instancias en busca de tutela.</w:t>
      </w:r>
    </w:p>
    <w:p w14:paraId="013B00DC" w14:textId="77777777" w:rsidR="000350E3" w:rsidRPr="0089460F" w:rsidRDefault="000350E3" w:rsidP="000350E3">
      <w:pPr>
        <w:spacing w:line="276" w:lineRule="auto"/>
        <w:jc w:val="both"/>
        <w:rPr>
          <w:rFonts w:ascii="Arial" w:hAnsi="Arial" w:cs="Arial"/>
          <w:sz w:val="25"/>
          <w:szCs w:val="25"/>
        </w:rPr>
      </w:pPr>
    </w:p>
    <w:p w14:paraId="48242057" w14:textId="14A9CD72" w:rsidR="008E47C5" w:rsidRPr="000350E3" w:rsidRDefault="00B47335" w:rsidP="000350E3">
      <w:pPr>
        <w:spacing w:line="276" w:lineRule="auto"/>
        <w:jc w:val="both"/>
        <w:rPr>
          <w:rFonts w:ascii="Arial" w:hAnsi="Arial" w:cs="Arial"/>
          <w:sz w:val="25"/>
          <w:szCs w:val="25"/>
        </w:rPr>
      </w:pPr>
      <w:r w:rsidRPr="0089460F">
        <w:rPr>
          <w:rFonts w:ascii="Arial" w:hAnsi="Arial" w:cs="Arial"/>
          <w:sz w:val="25"/>
          <w:szCs w:val="25"/>
        </w:rPr>
        <w:t xml:space="preserve">El presente artículo </w:t>
      </w:r>
      <w:r w:rsidR="00967DBD" w:rsidRPr="0089460F">
        <w:rPr>
          <w:rFonts w:ascii="Arial" w:hAnsi="Arial" w:cs="Arial"/>
          <w:sz w:val="25"/>
          <w:szCs w:val="25"/>
        </w:rPr>
        <w:t xml:space="preserve">hace referencia a las </w:t>
      </w:r>
      <w:r w:rsidRPr="0089460F">
        <w:rPr>
          <w:rFonts w:ascii="Arial" w:hAnsi="Arial" w:cs="Arial"/>
          <w:sz w:val="25"/>
          <w:szCs w:val="25"/>
        </w:rPr>
        <w:t>extendida</w:t>
      </w:r>
      <w:r w:rsidR="00967DBD" w:rsidRPr="0089460F">
        <w:rPr>
          <w:rFonts w:ascii="Arial" w:hAnsi="Arial" w:cs="Arial"/>
          <w:sz w:val="25"/>
          <w:szCs w:val="25"/>
        </w:rPr>
        <w:t xml:space="preserve">s denuncias </w:t>
      </w:r>
      <w:r w:rsidRPr="0089460F">
        <w:rPr>
          <w:rFonts w:ascii="Arial" w:hAnsi="Arial" w:cs="Arial"/>
          <w:sz w:val="25"/>
          <w:szCs w:val="25"/>
        </w:rPr>
        <w:t xml:space="preserve">penales por presunta estafa ante la fiscalía, </w:t>
      </w:r>
      <w:r w:rsidR="00967DBD" w:rsidRPr="0089460F">
        <w:rPr>
          <w:rFonts w:ascii="Arial" w:hAnsi="Arial" w:cs="Arial"/>
          <w:sz w:val="25"/>
          <w:szCs w:val="25"/>
        </w:rPr>
        <w:t>a la activación de</w:t>
      </w:r>
      <w:r w:rsidRPr="0089460F">
        <w:rPr>
          <w:rFonts w:ascii="Arial" w:hAnsi="Arial" w:cs="Arial"/>
          <w:sz w:val="25"/>
          <w:szCs w:val="25"/>
        </w:rPr>
        <w:t xml:space="preserve"> procedimientos administrativos ante el INDECOPI por infracción al Código de Protección y Defensa del Consumidor, o iniciar acciones civiles por incumplimiento contractual, muchas veces de manera simultánea e indiscriminada, sin una reflexión previa sobre la naturaleza jurídica del conflicto.</w:t>
      </w:r>
    </w:p>
    <w:p w14:paraId="000CD400" w14:textId="77777777" w:rsidR="000350E3" w:rsidRDefault="000350E3" w:rsidP="000350E3">
      <w:pPr>
        <w:spacing w:line="276" w:lineRule="auto"/>
        <w:jc w:val="both"/>
        <w:rPr>
          <w:rFonts w:ascii="Arial" w:hAnsi="Arial" w:cs="Arial"/>
          <w:sz w:val="25"/>
          <w:szCs w:val="25"/>
        </w:rPr>
      </w:pPr>
    </w:p>
    <w:p w14:paraId="3B803B4A" w14:textId="77777777" w:rsidR="00E020B7" w:rsidRPr="000350E3" w:rsidRDefault="00E020B7" w:rsidP="000350E3">
      <w:pPr>
        <w:spacing w:line="276" w:lineRule="auto"/>
        <w:jc w:val="both"/>
        <w:rPr>
          <w:rFonts w:ascii="Arial" w:hAnsi="Arial" w:cs="Arial"/>
          <w:sz w:val="25"/>
          <w:szCs w:val="25"/>
        </w:rPr>
      </w:pPr>
    </w:p>
    <w:p w14:paraId="7A82461A" w14:textId="65DF7151" w:rsidR="008E47C5" w:rsidRPr="0089460F" w:rsidRDefault="00B47335" w:rsidP="000350E3">
      <w:pPr>
        <w:spacing w:line="276" w:lineRule="auto"/>
        <w:jc w:val="both"/>
        <w:rPr>
          <w:rFonts w:ascii="Arial" w:hAnsi="Arial" w:cs="Arial"/>
          <w:b/>
          <w:bCs/>
          <w:sz w:val="25"/>
          <w:szCs w:val="25"/>
        </w:rPr>
      </w:pPr>
      <w:r w:rsidRPr="0089460F">
        <w:rPr>
          <w:rFonts w:ascii="Arial" w:hAnsi="Arial" w:cs="Arial"/>
          <w:b/>
          <w:bCs/>
          <w:sz w:val="25"/>
          <w:szCs w:val="25"/>
        </w:rPr>
        <w:lastRenderedPageBreak/>
        <w:t xml:space="preserve">II. </w:t>
      </w:r>
      <w:r w:rsidR="00967DBD" w:rsidRPr="0089460F">
        <w:rPr>
          <w:rFonts w:ascii="Arial" w:hAnsi="Arial" w:cs="Arial"/>
          <w:b/>
          <w:bCs/>
          <w:sz w:val="25"/>
          <w:szCs w:val="25"/>
        </w:rPr>
        <w:t>EL SISTEMA DE ADMISTRACIÓN DE</w:t>
      </w:r>
      <w:r w:rsidRPr="0089460F">
        <w:rPr>
          <w:rFonts w:ascii="Arial" w:hAnsi="Arial" w:cs="Arial"/>
          <w:b/>
          <w:bCs/>
          <w:sz w:val="25"/>
          <w:szCs w:val="25"/>
        </w:rPr>
        <w:t xml:space="preserve"> FONDOS COLECTIVOS: NATURALEZA JURÍDICA Y MARCO </w:t>
      </w:r>
      <w:r w:rsidR="00967DBD" w:rsidRPr="0089460F">
        <w:rPr>
          <w:rFonts w:ascii="Arial" w:hAnsi="Arial" w:cs="Arial"/>
          <w:b/>
          <w:bCs/>
          <w:sz w:val="25"/>
          <w:szCs w:val="25"/>
        </w:rPr>
        <w:t>LEGAL</w:t>
      </w:r>
    </w:p>
    <w:p w14:paraId="7CEDB722" w14:textId="77777777" w:rsidR="000350E3" w:rsidRPr="0089460F" w:rsidRDefault="000350E3" w:rsidP="000350E3">
      <w:pPr>
        <w:spacing w:line="276" w:lineRule="auto"/>
        <w:jc w:val="both"/>
        <w:rPr>
          <w:rFonts w:ascii="Arial" w:hAnsi="Arial" w:cs="Arial"/>
          <w:sz w:val="25"/>
          <w:szCs w:val="25"/>
        </w:rPr>
      </w:pPr>
    </w:p>
    <w:p w14:paraId="37A01E80" w14:textId="57B4226F" w:rsidR="0089460F" w:rsidRPr="00521CF4" w:rsidRDefault="00967DBD" w:rsidP="000350E3">
      <w:pPr>
        <w:spacing w:line="276" w:lineRule="auto"/>
        <w:jc w:val="both"/>
        <w:rPr>
          <w:rFonts w:ascii="Arial" w:hAnsi="Arial" w:cs="Arial"/>
          <w:sz w:val="25"/>
          <w:szCs w:val="25"/>
        </w:rPr>
      </w:pPr>
      <w:r w:rsidRPr="0089460F">
        <w:rPr>
          <w:rFonts w:ascii="Arial" w:hAnsi="Arial" w:cs="Arial"/>
          <w:sz w:val="25"/>
          <w:szCs w:val="25"/>
        </w:rPr>
        <w:t>Los</w:t>
      </w:r>
      <w:r w:rsidR="00B47335" w:rsidRPr="0089460F">
        <w:rPr>
          <w:rFonts w:ascii="Arial" w:hAnsi="Arial" w:cs="Arial"/>
          <w:sz w:val="25"/>
          <w:szCs w:val="25"/>
        </w:rPr>
        <w:t xml:space="preserve"> fondo</w:t>
      </w:r>
      <w:r w:rsidRPr="0089460F">
        <w:rPr>
          <w:rFonts w:ascii="Arial" w:hAnsi="Arial" w:cs="Arial"/>
          <w:sz w:val="25"/>
          <w:szCs w:val="25"/>
        </w:rPr>
        <w:t>s</w:t>
      </w:r>
      <w:r w:rsidR="00B47335" w:rsidRPr="0089460F">
        <w:rPr>
          <w:rFonts w:ascii="Arial" w:hAnsi="Arial" w:cs="Arial"/>
          <w:sz w:val="25"/>
          <w:szCs w:val="25"/>
        </w:rPr>
        <w:t xml:space="preserve"> colectivo</w:t>
      </w:r>
      <w:r w:rsidRPr="0089460F">
        <w:rPr>
          <w:rFonts w:ascii="Arial" w:hAnsi="Arial" w:cs="Arial"/>
          <w:sz w:val="25"/>
          <w:szCs w:val="25"/>
        </w:rPr>
        <w:t>s “</w:t>
      </w:r>
      <w:r>
        <w:rPr>
          <w:rFonts w:ascii="Arial" w:hAnsi="Arial" w:cs="Arial"/>
          <w:sz w:val="25"/>
          <w:szCs w:val="25"/>
        </w:rPr>
        <w:t>e</w:t>
      </w:r>
      <w:r w:rsidRPr="00967DBD">
        <w:rPr>
          <w:rFonts w:ascii="Arial" w:hAnsi="Arial" w:cs="Arial"/>
          <w:sz w:val="25"/>
          <w:szCs w:val="25"/>
        </w:rPr>
        <w:t>s un pro</w:t>
      </w:r>
      <w:r>
        <w:rPr>
          <w:rFonts w:ascii="Arial" w:hAnsi="Arial" w:cs="Arial"/>
          <w:sz w:val="25"/>
          <w:szCs w:val="25"/>
        </w:rPr>
        <w:t>g</w:t>
      </w:r>
      <w:r w:rsidRPr="00967DBD">
        <w:rPr>
          <w:rFonts w:ascii="Arial" w:hAnsi="Arial" w:cs="Arial"/>
          <w:sz w:val="25"/>
          <w:szCs w:val="25"/>
        </w:rPr>
        <w:t>ra</w:t>
      </w:r>
      <w:r>
        <w:rPr>
          <w:rFonts w:ascii="Arial" w:hAnsi="Arial" w:cs="Arial"/>
          <w:sz w:val="25"/>
          <w:szCs w:val="25"/>
        </w:rPr>
        <w:t>m</w:t>
      </w:r>
      <w:r w:rsidRPr="00967DBD">
        <w:rPr>
          <w:rFonts w:ascii="Arial" w:hAnsi="Arial" w:cs="Arial"/>
          <w:sz w:val="25"/>
          <w:szCs w:val="25"/>
        </w:rPr>
        <w:t xml:space="preserve">a </w:t>
      </w:r>
      <w:r>
        <w:rPr>
          <w:rFonts w:ascii="Arial" w:hAnsi="Arial" w:cs="Arial"/>
          <w:sz w:val="25"/>
          <w:szCs w:val="25"/>
        </w:rPr>
        <w:t>qu</w:t>
      </w:r>
      <w:r w:rsidRPr="00967DBD">
        <w:rPr>
          <w:rFonts w:ascii="Arial" w:hAnsi="Arial" w:cs="Arial"/>
          <w:sz w:val="25"/>
          <w:szCs w:val="25"/>
        </w:rPr>
        <w:t>e per</w:t>
      </w:r>
      <w:r>
        <w:rPr>
          <w:rFonts w:ascii="Arial" w:hAnsi="Arial" w:cs="Arial"/>
          <w:sz w:val="25"/>
          <w:szCs w:val="25"/>
        </w:rPr>
        <w:t>m</w:t>
      </w:r>
      <w:r w:rsidRPr="00967DBD">
        <w:rPr>
          <w:rFonts w:ascii="Arial" w:hAnsi="Arial" w:cs="Arial"/>
          <w:sz w:val="25"/>
          <w:szCs w:val="25"/>
        </w:rPr>
        <w:t xml:space="preserve">ite </w:t>
      </w:r>
      <w:r>
        <w:rPr>
          <w:rFonts w:ascii="Arial" w:hAnsi="Arial" w:cs="Arial"/>
          <w:sz w:val="25"/>
          <w:szCs w:val="25"/>
        </w:rPr>
        <w:t>a</w:t>
      </w:r>
      <w:r w:rsidRPr="00967DBD">
        <w:rPr>
          <w:rFonts w:ascii="Arial" w:hAnsi="Arial" w:cs="Arial"/>
          <w:sz w:val="25"/>
          <w:szCs w:val="25"/>
        </w:rPr>
        <w:t xml:space="preserve"> las personas naturales o</w:t>
      </w:r>
      <w:r>
        <w:rPr>
          <w:rFonts w:ascii="Arial" w:hAnsi="Arial" w:cs="Arial"/>
          <w:sz w:val="25"/>
          <w:szCs w:val="25"/>
        </w:rPr>
        <w:t xml:space="preserve"> </w:t>
      </w:r>
      <w:r w:rsidR="00DE2B9C">
        <w:rPr>
          <w:rFonts w:ascii="Arial" w:hAnsi="Arial" w:cs="Arial"/>
          <w:sz w:val="25"/>
          <w:szCs w:val="25"/>
        </w:rPr>
        <w:t>ju</w:t>
      </w:r>
      <w:r w:rsidR="00DE2B9C" w:rsidRPr="00967DBD">
        <w:rPr>
          <w:rFonts w:ascii="Arial" w:hAnsi="Arial" w:cs="Arial"/>
          <w:sz w:val="25"/>
          <w:szCs w:val="25"/>
        </w:rPr>
        <w:t>r</w:t>
      </w:r>
      <w:r w:rsidR="00DE2B9C">
        <w:rPr>
          <w:rFonts w:ascii="Arial" w:hAnsi="Arial" w:cs="Arial"/>
          <w:sz w:val="25"/>
          <w:szCs w:val="25"/>
        </w:rPr>
        <w:t>í</w:t>
      </w:r>
      <w:r w:rsidR="00DE2B9C" w:rsidRPr="00967DBD">
        <w:rPr>
          <w:rFonts w:ascii="Arial" w:hAnsi="Arial" w:cs="Arial"/>
          <w:sz w:val="25"/>
          <w:szCs w:val="25"/>
        </w:rPr>
        <w:t>dicas</w:t>
      </w:r>
      <w:r w:rsidRPr="00967DBD">
        <w:rPr>
          <w:rFonts w:ascii="Arial" w:hAnsi="Arial" w:cs="Arial"/>
          <w:sz w:val="25"/>
          <w:szCs w:val="25"/>
        </w:rPr>
        <w:t xml:space="preserve"> participen de un </w:t>
      </w:r>
      <w:r>
        <w:rPr>
          <w:rFonts w:ascii="Arial" w:hAnsi="Arial" w:cs="Arial"/>
          <w:sz w:val="25"/>
          <w:szCs w:val="25"/>
        </w:rPr>
        <w:t>f</w:t>
      </w:r>
      <w:r w:rsidRPr="00967DBD">
        <w:rPr>
          <w:rFonts w:ascii="Arial" w:hAnsi="Arial" w:cs="Arial"/>
          <w:sz w:val="25"/>
          <w:szCs w:val="25"/>
        </w:rPr>
        <w:t>ondo colecti</w:t>
      </w:r>
      <w:r>
        <w:rPr>
          <w:rFonts w:ascii="Arial" w:hAnsi="Arial" w:cs="Arial"/>
          <w:sz w:val="25"/>
          <w:szCs w:val="25"/>
        </w:rPr>
        <w:t>v</w:t>
      </w:r>
      <w:r w:rsidRPr="00967DBD">
        <w:rPr>
          <w:rFonts w:ascii="Arial" w:hAnsi="Arial" w:cs="Arial"/>
          <w:sz w:val="25"/>
          <w:szCs w:val="25"/>
        </w:rPr>
        <w:t xml:space="preserve">o a </w:t>
      </w:r>
      <w:r w:rsidR="0089460F" w:rsidRPr="00967DBD">
        <w:rPr>
          <w:rFonts w:ascii="Arial" w:hAnsi="Arial" w:cs="Arial"/>
          <w:sz w:val="25"/>
          <w:szCs w:val="25"/>
        </w:rPr>
        <w:t>tra</w:t>
      </w:r>
      <w:r w:rsidR="0089460F">
        <w:rPr>
          <w:rFonts w:ascii="Arial" w:hAnsi="Arial" w:cs="Arial"/>
          <w:sz w:val="25"/>
          <w:szCs w:val="25"/>
        </w:rPr>
        <w:t>vé</w:t>
      </w:r>
      <w:r w:rsidR="0089460F" w:rsidRPr="00967DBD">
        <w:rPr>
          <w:rFonts w:ascii="Arial" w:hAnsi="Arial" w:cs="Arial"/>
          <w:sz w:val="25"/>
          <w:szCs w:val="25"/>
        </w:rPr>
        <w:t>s</w:t>
      </w:r>
      <w:r w:rsidRPr="00967DBD">
        <w:rPr>
          <w:rFonts w:ascii="Arial" w:hAnsi="Arial" w:cs="Arial"/>
          <w:sz w:val="25"/>
          <w:szCs w:val="25"/>
        </w:rPr>
        <w:t xml:space="preserve"> de sus aportes </w:t>
      </w:r>
      <w:r w:rsidR="0089460F">
        <w:rPr>
          <w:rFonts w:ascii="Arial" w:hAnsi="Arial" w:cs="Arial"/>
          <w:sz w:val="25"/>
          <w:szCs w:val="25"/>
        </w:rPr>
        <w:t xml:space="preserve">periódicos </w:t>
      </w:r>
      <w:r w:rsidRPr="00967DBD">
        <w:rPr>
          <w:rFonts w:ascii="Arial" w:hAnsi="Arial" w:cs="Arial"/>
          <w:sz w:val="25"/>
          <w:szCs w:val="25"/>
        </w:rPr>
        <w:t xml:space="preserve">en dinero </w:t>
      </w:r>
      <w:r w:rsidR="0089460F">
        <w:rPr>
          <w:rFonts w:ascii="Arial" w:hAnsi="Arial" w:cs="Arial"/>
          <w:sz w:val="25"/>
          <w:szCs w:val="25"/>
        </w:rPr>
        <w:t>(c</w:t>
      </w:r>
      <w:r w:rsidRPr="00967DBD">
        <w:rPr>
          <w:rFonts w:ascii="Arial" w:hAnsi="Arial" w:cs="Arial"/>
          <w:sz w:val="25"/>
          <w:szCs w:val="25"/>
        </w:rPr>
        <w:t>uotas</w:t>
      </w:r>
      <w:r w:rsidR="0089460F">
        <w:rPr>
          <w:rFonts w:ascii="Arial" w:hAnsi="Arial" w:cs="Arial"/>
          <w:sz w:val="25"/>
          <w:szCs w:val="25"/>
        </w:rPr>
        <w:t>)</w:t>
      </w:r>
      <w:r w:rsidRPr="00967DBD">
        <w:rPr>
          <w:rFonts w:ascii="Arial" w:hAnsi="Arial" w:cs="Arial"/>
          <w:sz w:val="25"/>
          <w:szCs w:val="25"/>
        </w:rPr>
        <w:t xml:space="preserve"> con la </w:t>
      </w:r>
      <w:r w:rsidR="0089460F">
        <w:rPr>
          <w:rFonts w:ascii="Arial" w:hAnsi="Arial" w:cs="Arial"/>
          <w:sz w:val="25"/>
          <w:szCs w:val="25"/>
        </w:rPr>
        <w:t>fi</w:t>
      </w:r>
      <w:r w:rsidRPr="00967DBD">
        <w:rPr>
          <w:rFonts w:ascii="Arial" w:hAnsi="Arial" w:cs="Arial"/>
          <w:sz w:val="25"/>
          <w:szCs w:val="25"/>
        </w:rPr>
        <w:t>nalidad de ad</w:t>
      </w:r>
      <w:r w:rsidR="0089460F">
        <w:rPr>
          <w:rFonts w:ascii="Arial" w:hAnsi="Arial" w:cs="Arial"/>
          <w:sz w:val="25"/>
          <w:szCs w:val="25"/>
        </w:rPr>
        <w:t>qu</w:t>
      </w:r>
      <w:r w:rsidRPr="00967DBD">
        <w:rPr>
          <w:rFonts w:ascii="Arial" w:hAnsi="Arial" w:cs="Arial"/>
          <w:sz w:val="25"/>
          <w:szCs w:val="25"/>
        </w:rPr>
        <w:t xml:space="preserve">irir </w:t>
      </w:r>
      <w:r w:rsidR="0089460F">
        <w:rPr>
          <w:rFonts w:ascii="Arial" w:hAnsi="Arial" w:cs="Arial"/>
          <w:sz w:val="25"/>
          <w:szCs w:val="25"/>
        </w:rPr>
        <w:t>bi</w:t>
      </w:r>
      <w:r w:rsidRPr="00967DBD">
        <w:rPr>
          <w:rFonts w:ascii="Arial" w:hAnsi="Arial" w:cs="Arial"/>
          <w:sz w:val="25"/>
          <w:szCs w:val="25"/>
        </w:rPr>
        <w:t>enes</w:t>
      </w:r>
      <w:r w:rsidR="0089460F">
        <w:rPr>
          <w:rFonts w:ascii="Arial" w:hAnsi="Arial" w:cs="Arial"/>
          <w:sz w:val="25"/>
          <w:szCs w:val="25"/>
        </w:rPr>
        <w:t xml:space="preserve"> (inmuebles, automóviles, motos, maquinaria y equipo) y/o servicios que</w:t>
      </w:r>
      <w:r w:rsidRPr="00967DBD">
        <w:rPr>
          <w:rFonts w:ascii="Arial" w:hAnsi="Arial" w:cs="Arial"/>
          <w:sz w:val="25"/>
          <w:szCs w:val="25"/>
        </w:rPr>
        <w:t xml:space="preserve"> </w:t>
      </w:r>
      <w:r w:rsidR="0089460F">
        <w:rPr>
          <w:rFonts w:ascii="Arial" w:hAnsi="Arial" w:cs="Arial"/>
          <w:sz w:val="25"/>
          <w:szCs w:val="25"/>
        </w:rPr>
        <w:t xml:space="preserve">autorice la </w:t>
      </w:r>
      <w:r w:rsidRPr="00967DBD">
        <w:rPr>
          <w:rFonts w:ascii="Arial" w:hAnsi="Arial" w:cs="Arial"/>
          <w:sz w:val="25"/>
          <w:szCs w:val="25"/>
        </w:rPr>
        <w:t>Superintendencia del Mercado de Valores</w:t>
      </w:r>
      <w:r w:rsidR="0089460F">
        <w:rPr>
          <w:rFonts w:ascii="Arial" w:hAnsi="Arial" w:cs="Arial"/>
          <w:sz w:val="25"/>
          <w:szCs w:val="25"/>
        </w:rPr>
        <w:t>)”</w:t>
      </w:r>
      <w:r w:rsidR="0089460F">
        <w:rPr>
          <w:rStyle w:val="Refdenotaalpie"/>
          <w:rFonts w:ascii="Arial" w:hAnsi="Arial" w:cs="Arial"/>
          <w:sz w:val="25"/>
          <w:szCs w:val="25"/>
        </w:rPr>
        <w:footnoteReference w:id="3"/>
      </w:r>
      <w:r w:rsidR="0089460F">
        <w:rPr>
          <w:rFonts w:ascii="Arial" w:hAnsi="Arial" w:cs="Arial"/>
          <w:sz w:val="25"/>
          <w:szCs w:val="25"/>
        </w:rPr>
        <w:t xml:space="preserve"> </w:t>
      </w:r>
      <w:r w:rsidR="00B47335" w:rsidRPr="00521CF4">
        <w:rPr>
          <w:rFonts w:ascii="Arial" w:hAnsi="Arial" w:cs="Arial"/>
          <w:sz w:val="25"/>
          <w:szCs w:val="25"/>
        </w:rPr>
        <w:t>es</w:t>
      </w:r>
      <w:r w:rsidR="0089460F" w:rsidRPr="00521CF4">
        <w:rPr>
          <w:rFonts w:ascii="Arial" w:hAnsi="Arial" w:cs="Arial"/>
          <w:sz w:val="25"/>
          <w:szCs w:val="25"/>
        </w:rPr>
        <w:t xml:space="preserve"> decir</w:t>
      </w:r>
      <w:r w:rsidR="00B47335" w:rsidRPr="00521CF4">
        <w:rPr>
          <w:rFonts w:ascii="Arial" w:hAnsi="Arial" w:cs="Arial"/>
          <w:sz w:val="25"/>
          <w:szCs w:val="25"/>
        </w:rPr>
        <w:t xml:space="preserve"> un grupo de personas </w:t>
      </w:r>
      <w:r w:rsidR="0089460F" w:rsidRPr="00521CF4">
        <w:rPr>
          <w:rFonts w:ascii="Arial" w:hAnsi="Arial" w:cs="Arial"/>
          <w:sz w:val="25"/>
          <w:szCs w:val="25"/>
        </w:rPr>
        <w:t>(</w:t>
      </w:r>
      <w:r w:rsidR="00B47335" w:rsidRPr="00521CF4">
        <w:rPr>
          <w:rFonts w:ascii="Arial" w:hAnsi="Arial" w:cs="Arial"/>
          <w:sz w:val="25"/>
          <w:szCs w:val="25"/>
        </w:rPr>
        <w:t>a</w:t>
      </w:r>
      <w:r w:rsidR="000823B0" w:rsidRPr="00521CF4">
        <w:rPr>
          <w:rFonts w:ascii="Arial" w:hAnsi="Arial" w:cs="Arial"/>
          <w:sz w:val="25"/>
          <w:szCs w:val="25"/>
        </w:rPr>
        <w:t>s</w:t>
      </w:r>
      <w:r w:rsidR="009B2C22" w:rsidRPr="00521CF4">
        <w:rPr>
          <w:rFonts w:ascii="Arial" w:hAnsi="Arial" w:cs="Arial"/>
          <w:sz w:val="25"/>
          <w:szCs w:val="25"/>
        </w:rPr>
        <w:t>ociados</w:t>
      </w:r>
      <w:r w:rsidR="0089460F" w:rsidRPr="00521CF4">
        <w:rPr>
          <w:rFonts w:ascii="Arial" w:hAnsi="Arial" w:cs="Arial"/>
          <w:sz w:val="25"/>
          <w:szCs w:val="25"/>
        </w:rPr>
        <w:t>)</w:t>
      </w:r>
      <w:r w:rsidRPr="00521CF4">
        <w:rPr>
          <w:rFonts w:ascii="Arial" w:hAnsi="Arial" w:cs="Arial"/>
          <w:sz w:val="25"/>
          <w:szCs w:val="25"/>
        </w:rPr>
        <w:t xml:space="preserve"> </w:t>
      </w:r>
      <w:r w:rsidR="00B47335" w:rsidRPr="00521CF4">
        <w:rPr>
          <w:rFonts w:ascii="Arial" w:hAnsi="Arial" w:cs="Arial"/>
          <w:sz w:val="25"/>
          <w:szCs w:val="25"/>
        </w:rPr>
        <w:t xml:space="preserve">aportan cuotas periódicas a un fondo común administrado por una empresa autorizada, con el objeto de adquirir un bien determinado que será adjudicado mediante sorteo o remate en cada asamblea. </w:t>
      </w:r>
    </w:p>
    <w:p w14:paraId="7C8808BD" w14:textId="77777777" w:rsidR="0089460F" w:rsidRPr="00521CF4" w:rsidRDefault="0089460F" w:rsidP="000350E3">
      <w:pPr>
        <w:spacing w:line="276" w:lineRule="auto"/>
        <w:jc w:val="both"/>
        <w:rPr>
          <w:rFonts w:ascii="Arial" w:hAnsi="Arial" w:cs="Arial"/>
          <w:sz w:val="25"/>
          <w:szCs w:val="25"/>
        </w:rPr>
      </w:pPr>
    </w:p>
    <w:p w14:paraId="5CABB326" w14:textId="77777777" w:rsidR="00521CF4" w:rsidRDefault="00B47335" w:rsidP="000350E3">
      <w:pPr>
        <w:spacing w:line="276" w:lineRule="auto"/>
        <w:jc w:val="both"/>
        <w:rPr>
          <w:rFonts w:ascii="Arial" w:hAnsi="Arial" w:cs="Arial"/>
          <w:sz w:val="25"/>
          <w:szCs w:val="25"/>
        </w:rPr>
      </w:pPr>
      <w:r w:rsidRPr="00521CF4">
        <w:rPr>
          <w:rFonts w:ascii="Arial" w:hAnsi="Arial" w:cs="Arial"/>
          <w:sz w:val="25"/>
          <w:szCs w:val="25"/>
        </w:rPr>
        <w:t xml:space="preserve">A diferencia del crédito tradicional, el </w:t>
      </w:r>
      <w:r w:rsidR="0089460F" w:rsidRPr="00521CF4">
        <w:rPr>
          <w:rFonts w:ascii="Arial" w:hAnsi="Arial" w:cs="Arial"/>
          <w:sz w:val="25"/>
          <w:szCs w:val="25"/>
        </w:rPr>
        <w:t xml:space="preserve">sistema de administración de </w:t>
      </w:r>
      <w:r w:rsidRPr="00521CF4">
        <w:rPr>
          <w:rFonts w:ascii="Arial" w:hAnsi="Arial" w:cs="Arial"/>
          <w:sz w:val="25"/>
          <w:szCs w:val="25"/>
        </w:rPr>
        <w:t xml:space="preserve">fondo colectivo no garantiza al </w:t>
      </w:r>
      <w:r w:rsidR="00CC4C99" w:rsidRPr="00521CF4">
        <w:rPr>
          <w:rFonts w:ascii="Arial" w:hAnsi="Arial" w:cs="Arial"/>
          <w:sz w:val="25"/>
          <w:szCs w:val="25"/>
        </w:rPr>
        <w:t>a</w:t>
      </w:r>
      <w:r w:rsidR="005E1BF1" w:rsidRPr="00521CF4">
        <w:rPr>
          <w:rFonts w:ascii="Arial" w:hAnsi="Arial" w:cs="Arial"/>
          <w:sz w:val="25"/>
          <w:szCs w:val="25"/>
        </w:rPr>
        <w:t>sociado</w:t>
      </w:r>
      <w:r w:rsidRPr="00521CF4">
        <w:rPr>
          <w:rFonts w:ascii="Arial" w:hAnsi="Arial" w:cs="Arial"/>
          <w:sz w:val="25"/>
          <w:szCs w:val="25"/>
        </w:rPr>
        <w:t xml:space="preserve"> la entrega inmediata del bien, sino su adjudicación </w:t>
      </w:r>
      <w:r w:rsidR="0089460F" w:rsidRPr="00521CF4">
        <w:rPr>
          <w:rFonts w:ascii="Arial" w:hAnsi="Arial" w:cs="Arial"/>
          <w:sz w:val="25"/>
          <w:szCs w:val="25"/>
        </w:rPr>
        <w:t xml:space="preserve">mientras se encuentre </w:t>
      </w:r>
      <w:r w:rsidRPr="00521CF4">
        <w:rPr>
          <w:rFonts w:ascii="Arial" w:hAnsi="Arial" w:cs="Arial"/>
          <w:sz w:val="25"/>
          <w:szCs w:val="25"/>
        </w:rPr>
        <w:t>vigen</w:t>
      </w:r>
      <w:r w:rsidR="0089460F" w:rsidRPr="00521CF4">
        <w:rPr>
          <w:rFonts w:ascii="Arial" w:hAnsi="Arial" w:cs="Arial"/>
          <w:sz w:val="25"/>
          <w:szCs w:val="25"/>
        </w:rPr>
        <w:t xml:space="preserve">te </w:t>
      </w:r>
      <w:r w:rsidRPr="00521CF4">
        <w:rPr>
          <w:rFonts w:ascii="Arial" w:hAnsi="Arial" w:cs="Arial"/>
          <w:sz w:val="25"/>
          <w:szCs w:val="25"/>
        </w:rPr>
        <w:t>el grupo, conforme a las reglas del contrato</w:t>
      </w:r>
      <w:r w:rsidR="0089460F" w:rsidRPr="00521CF4">
        <w:rPr>
          <w:rFonts w:ascii="Arial" w:hAnsi="Arial" w:cs="Arial"/>
          <w:sz w:val="25"/>
          <w:szCs w:val="25"/>
        </w:rPr>
        <w:t xml:space="preserve"> que se estipulen</w:t>
      </w:r>
      <w:r w:rsidRPr="00521CF4">
        <w:rPr>
          <w:rFonts w:ascii="Arial" w:hAnsi="Arial" w:cs="Arial"/>
          <w:sz w:val="25"/>
          <w:szCs w:val="25"/>
        </w:rPr>
        <w:t>.</w:t>
      </w:r>
      <w:r w:rsidR="0089460F" w:rsidRPr="00521CF4">
        <w:rPr>
          <w:rFonts w:ascii="Arial" w:hAnsi="Arial" w:cs="Arial"/>
          <w:sz w:val="25"/>
          <w:szCs w:val="25"/>
        </w:rPr>
        <w:t xml:space="preserve"> </w:t>
      </w:r>
    </w:p>
    <w:p w14:paraId="47323651" w14:textId="77777777" w:rsidR="00521CF4" w:rsidRDefault="00521CF4" w:rsidP="000350E3">
      <w:pPr>
        <w:spacing w:line="276" w:lineRule="auto"/>
        <w:jc w:val="both"/>
        <w:rPr>
          <w:rFonts w:ascii="Arial" w:hAnsi="Arial" w:cs="Arial"/>
          <w:sz w:val="25"/>
          <w:szCs w:val="25"/>
        </w:rPr>
      </w:pPr>
    </w:p>
    <w:p w14:paraId="08387055" w14:textId="4204A4C7" w:rsidR="008E47C5" w:rsidRPr="00521CF4" w:rsidRDefault="0089460F" w:rsidP="000350E3">
      <w:pPr>
        <w:spacing w:line="276" w:lineRule="auto"/>
        <w:jc w:val="both"/>
        <w:rPr>
          <w:rFonts w:ascii="Arial" w:hAnsi="Arial" w:cs="Arial"/>
          <w:sz w:val="25"/>
          <w:szCs w:val="25"/>
        </w:rPr>
      </w:pPr>
      <w:r w:rsidRPr="00521CF4">
        <w:rPr>
          <w:rFonts w:ascii="Arial" w:hAnsi="Arial" w:cs="Arial"/>
          <w:sz w:val="25"/>
          <w:szCs w:val="25"/>
        </w:rPr>
        <w:t>El principal e inicio del conflicto es la idea errada de</w:t>
      </w:r>
      <w:r w:rsidR="00B47335" w:rsidRPr="00521CF4">
        <w:rPr>
          <w:rFonts w:ascii="Arial" w:hAnsi="Arial" w:cs="Arial"/>
          <w:sz w:val="25"/>
          <w:szCs w:val="25"/>
        </w:rPr>
        <w:t>l a</w:t>
      </w:r>
      <w:r w:rsidR="008B0689" w:rsidRPr="00521CF4">
        <w:rPr>
          <w:rFonts w:ascii="Arial" w:hAnsi="Arial" w:cs="Arial"/>
          <w:sz w:val="25"/>
          <w:szCs w:val="25"/>
        </w:rPr>
        <w:t>socia</w:t>
      </w:r>
      <w:r w:rsidR="008C0588" w:rsidRPr="00521CF4">
        <w:rPr>
          <w:rFonts w:ascii="Arial" w:hAnsi="Arial" w:cs="Arial"/>
          <w:sz w:val="25"/>
          <w:szCs w:val="25"/>
        </w:rPr>
        <w:t>do</w:t>
      </w:r>
      <w:r w:rsidRPr="00521CF4">
        <w:rPr>
          <w:rFonts w:ascii="Arial" w:hAnsi="Arial" w:cs="Arial"/>
          <w:sz w:val="25"/>
          <w:szCs w:val="25"/>
        </w:rPr>
        <w:t xml:space="preserve"> es creer que con la</w:t>
      </w:r>
      <w:r w:rsidR="00B47335" w:rsidRPr="00521CF4">
        <w:rPr>
          <w:rFonts w:ascii="Arial" w:hAnsi="Arial" w:cs="Arial"/>
          <w:sz w:val="25"/>
          <w:szCs w:val="25"/>
        </w:rPr>
        <w:t xml:space="preserve"> firma </w:t>
      </w:r>
      <w:r w:rsidRPr="00521CF4">
        <w:rPr>
          <w:rFonts w:ascii="Arial" w:hAnsi="Arial" w:cs="Arial"/>
          <w:sz w:val="25"/>
          <w:szCs w:val="25"/>
        </w:rPr>
        <w:t xml:space="preserve">del </w:t>
      </w:r>
      <w:r w:rsidR="00B47335" w:rsidRPr="00521CF4">
        <w:rPr>
          <w:rFonts w:ascii="Arial" w:hAnsi="Arial" w:cs="Arial"/>
          <w:sz w:val="25"/>
          <w:szCs w:val="25"/>
        </w:rPr>
        <w:t xml:space="preserve">contrato de fondo colectivo </w:t>
      </w:r>
      <w:r w:rsidRPr="00521CF4">
        <w:rPr>
          <w:rFonts w:ascii="Arial" w:hAnsi="Arial" w:cs="Arial"/>
          <w:sz w:val="25"/>
          <w:szCs w:val="25"/>
        </w:rPr>
        <w:t xml:space="preserve">se </w:t>
      </w:r>
      <w:r w:rsidR="00B47335" w:rsidRPr="00521CF4">
        <w:rPr>
          <w:rFonts w:ascii="Arial" w:hAnsi="Arial" w:cs="Arial"/>
          <w:sz w:val="25"/>
          <w:szCs w:val="25"/>
        </w:rPr>
        <w:t xml:space="preserve">está contratando un crédito tradicional con fecha cierta de entrega del bien. Esta confusión, muchas veces alimentada por una información </w:t>
      </w:r>
      <w:r w:rsidR="00CE6863" w:rsidRPr="00521CF4">
        <w:rPr>
          <w:rFonts w:ascii="Arial" w:hAnsi="Arial" w:cs="Arial"/>
          <w:sz w:val="25"/>
          <w:szCs w:val="25"/>
        </w:rPr>
        <w:t>prev</w:t>
      </w:r>
      <w:r w:rsidR="00B63043" w:rsidRPr="00521CF4">
        <w:rPr>
          <w:rFonts w:ascii="Arial" w:hAnsi="Arial" w:cs="Arial"/>
          <w:sz w:val="25"/>
          <w:szCs w:val="25"/>
        </w:rPr>
        <w:t>i</w:t>
      </w:r>
      <w:r w:rsidR="008D0B06" w:rsidRPr="00521CF4">
        <w:rPr>
          <w:rFonts w:ascii="Arial" w:hAnsi="Arial" w:cs="Arial"/>
          <w:sz w:val="25"/>
          <w:szCs w:val="25"/>
        </w:rPr>
        <w:t>a</w:t>
      </w:r>
      <w:r w:rsidR="00B47335" w:rsidRPr="00521CF4">
        <w:rPr>
          <w:rFonts w:ascii="Arial" w:hAnsi="Arial" w:cs="Arial"/>
          <w:sz w:val="25"/>
          <w:szCs w:val="25"/>
        </w:rPr>
        <w:t xml:space="preserve"> deficiente o por prácticas comerciales poco transparentes, no convierte automáticamente el incumplimiento en un delito. </w:t>
      </w:r>
      <w:r w:rsidRPr="00521CF4">
        <w:rPr>
          <w:rFonts w:ascii="Arial" w:hAnsi="Arial" w:cs="Arial"/>
          <w:sz w:val="25"/>
          <w:szCs w:val="25"/>
        </w:rPr>
        <w:t>Para ello, e</w:t>
      </w:r>
      <w:r w:rsidR="00B47335" w:rsidRPr="00521CF4">
        <w:rPr>
          <w:rFonts w:ascii="Arial" w:hAnsi="Arial" w:cs="Arial"/>
          <w:sz w:val="25"/>
          <w:szCs w:val="25"/>
        </w:rPr>
        <w:t xml:space="preserve">l contrato </w:t>
      </w:r>
      <w:r w:rsidRPr="00521CF4">
        <w:rPr>
          <w:rFonts w:ascii="Arial" w:hAnsi="Arial" w:cs="Arial"/>
          <w:sz w:val="25"/>
          <w:szCs w:val="25"/>
        </w:rPr>
        <w:t>debe de</w:t>
      </w:r>
      <w:r w:rsidR="00B47335" w:rsidRPr="00521CF4">
        <w:rPr>
          <w:rFonts w:ascii="Arial" w:hAnsi="Arial" w:cs="Arial"/>
          <w:sz w:val="25"/>
          <w:szCs w:val="25"/>
        </w:rPr>
        <w:t xml:space="preserve"> establecer la mecánica del sistema, </w:t>
      </w:r>
      <w:r w:rsidRPr="00521CF4">
        <w:rPr>
          <w:rFonts w:ascii="Arial" w:hAnsi="Arial" w:cs="Arial"/>
          <w:sz w:val="25"/>
          <w:szCs w:val="25"/>
        </w:rPr>
        <w:t xml:space="preserve">el cual es suscrito por el </w:t>
      </w:r>
      <w:r w:rsidR="00B47335" w:rsidRPr="00521CF4">
        <w:rPr>
          <w:rFonts w:ascii="Arial" w:hAnsi="Arial" w:cs="Arial"/>
          <w:sz w:val="25"/>
          <w:szCs w:val="25"/>
        </w:rPr>
        <w:t>a</w:t>
      </w:r>
      <w:r w:rsidR="00706086" w:rsidRPr="00521CF4">
        <w:rPr>
          <w:rFonts w:ascii="Arial" w:hAnsi="Arial" w:cs="Arial"/>
          <w:sz w:val="25"/>
          <w:szCs w:val="25"/>
        </w:rPr>
        <w:t>sociad</w:t>
      </w:r>
      <w:r w:rsidR="0001119B" w:rsidRPr="00521CF4">
        <w:rPr>
          <w:rFonts w:ascii="Arial" w:hAnsi="Arial" w:cs="Arial"/>
          <w:sz w:val="25"/>
          <w:szCs w:val="25"/>
        </w:rPr>
        <w:t xml:space="preserve">o </w:t>
      </w:r>
      <w:r w:rsidRPr="00521CF4">
        <w:rPr>
          <w:rFonts w:ascii="Arial" w:hAnsi="Arial" w:cs="Arial"/>
          <w:sz w:val="25"/>
          <w:szCs w:val="25"/>
        </w:rPr>
        <w:t>de forma</w:t>
      </w:r>
      <w:r w:rsidR="00B47335" w:rsidRPr="00521CF4">
        <w:rPr>
          <w:rFonts w:ascii="Arial" w:hAnsi="Arial" w:cs="Arial"/>
          <w:sz w:val="25"/>
          <w:szCs w:val="25"/>
        </w:rPr>
        <w:t xml:space="preserve"> libre y voluntaria, aunque con frecuencia sin comprenderlo </w:t>
      </w:r>
      <w:r w:rsidR="00101C98" w:rsidRPr="00521CF4">
        <w:rPr>
          <w:rFonts w:ascii="Arial" w:hAnsi="Arial" w:cs="Arial"/>
          <w:sz w:val="25"/>
          <w:szCs w:val="25"/>
        </w:rPr>
        <w:t>e</w:t>
      </w:r>
      <w:r w:rsidR="00C61D3F" w:rsidRPr="00521CF4">
        <w:rPr>
          <w:rFonts w:ascii="Arial" w:hAnsi="Arial" w:cs="Arial"/>
          <w:sz w:val="25"/>
          <w:szCs w:val="25"/>
        </w:rPr>
        <w:t xml:space="preserve">n su </w:t>
      </w:r>
      <w:r w:rsidR="005B0368" w:rsidRPr="00521CF4">
        <w:rPr>
          <w:rFonts w:ascii="Arial" w:hAnsi="Arial" w:cs="Arial"/>
          <w:sz w:val="25"/>
          <w:szCs w:val="25"/>
        </w:rPr>
        <w:t>mayoría.</w:t>
      </w:r>
    </w:p>
    <w:p w14:paraId="526FDED6" w14:textId="77777777" w:rsidR="000350E3" w:rsidRPr="00521CF4" w:rsidRDefault="000350E3" w:rsidP="000350E3">
      <w:pPr>
        <w:spacing w:line="276" w:lineRule="auto"/>
        <w:jc w:val="both"/>
        <w:rPr>
          <w:rFonts w:ascii="Arial" w:hAnsi="Arial" w:cs="Arial"/>
          <w:sz w:val="25"/>
          <w:szCs w:val="25"/>
        </w:rPr>
      </w:pPr>
    </w:p>
    <w:p w14:paraId="739C21C6" w14:textId="3CA634A8" w:rsidR="00812E65" w:rsidRPr="00521CF4" w:rsidRDefault="00413001" w:rsidP="000350E3">
      <w:pPr>
        <w:spacing w:line="276" w:lineRule="auto"/>
        <w:jc w:val="both"/>
        <w:rPr>
          <w:rFonts w:ascii="Arial" w:hAnsi="Arial" w:cs="Arial"/>
          <w:sz w:val="25"/>
          <w:szCs w:val="25"/>
        </w:rPr>
      </w:pPr>
      <w:r w:rsidRPr="00521CF4">
        <w:rPr>
          <w:rFonts w:ascii="Arial" w:hAnsi="Arial" w:cs="Arial"/>
          <w:sz w:val="25"/>
          <w:szCs w:val="25"/>
        </w:rPr>
        <w:t xml:space="preserve">Desde el punto de vista regulatorio, las empresas </w:t>
      </w:r>
      <w:r w:rsidR="000E4E24" w:rsidRPr="00521CF4">
        <w:rPr>
          <w:rFonts w:ascii="Arial" w:hAnsi="Arial" w:cs="Arial"/>
          <w:sz w:val="25"/>
          <w:szCs w:val="25"/>
        </w:rPr>
        <w:t>reguladas por la SMV para</w:t>
      </w:r>
      <w:r w:rsidRPr="00521CF4">
        <w:rPr>
          <w:rFonts w:ascii="Arial" w:hAnsi="Arial" w:cs="Arial"/>
          <w:sz w:val="25"/>
          <w:szCs w:val="25"/>
        </w:rPr>
        <w:t xml:space="preserve"> fondos colectivos en el Perú se rigen principalmente por el Reglamento del Sistema de Fondos Colectivos y de sus Empresas Administradoras, aprobado mediante Resolución SMV </w:t>
      </w:r>
      <w:proofErr w:type="spellStart"/>
      <w:r w:rsidRPr="00521CF4">
        <w:rPr>
          <w:rFonts w:ascii="Arial" w:hAnsi="Arial" w:cs="Arial"/>
          <w:sz w:val="25"/>
          <w:szCs w:val="25"/>
        </w:rPr>
        <w:t>N.°</w:t>
      </w:r>
      <w:proofErr w:type="spellEnd"/>
      <w:r w:rsidRPr="00521CF4">
        <w:rPr>
          <w:rFonts w:ascii="Arial" w:hAnsi="Arial" w:cs="Arial"/>
          <w:sz w:val="25"/>
          <w:szCs w:val="25"/>
        </w:rPr>
        <w:t xml:space="preserve"> 020-2014-SMV/01</w:t>
      </w:r>
      <w:r w:rsidR="000E4E24" w:rsidRPr="00521CF4">
        <w:rPr>
          <w:rStyle w:val="Refdenotaalpie"/>
          <w:rFonts w:ascii="Arial" w:hAnsi="Arial" w:cs="Arial"/>
          <w:sz w:val="25"/>
          <w:szCs w:val="25"/>
        </w:rPr>
        <w:footnoteReference w:id="4"/>
      </w:r>
      <w:r w:rsidRPr="00521CF4">
        <w:rPr>
          <w:rFonts w:ascii="Arial" w:hAnsi="Arial" w:cs="Arial"/>
          <w:sz w:val="25"/>
          <w:szCs w:val="25"/>
        </w:rPr>
        <w:t xml:space="preserve">, norma que establece los requisitos de constitución, organización y funcionamiento de estas empresas, así como las obligaciones frente a los </w:t>
      </w:r>
      <w:r w:rsidR="003945BB" w:rsidRPr="00521CF4">
        <w:rPr>
          <w:rFonts w:ascii="Arial" w:hAnsi="Arial" w:cs="Arial"/>
          <w:sz w:val="25"/>
          <w:szCs w:val="25"/>
        </w:rPr>
        <w:t>asociados.</w:t>
      </w:r>
    </w:p>
    <w:p w14:paraId="16CD0CE2" w14:textId="77777777" w:rsidR="000350E3" w:rsidRPr="00521CF4" w:rsidRDefault="000350E3" w:rsidP="000350E3">
      <w:pPr>
        <w:spacing w:line="276" w:lineRule="auto"/>
        <w:jc w:val="both"/>
        <w:rPr>
          <w:rFonts w:ascii="Arial" w:hAnsi="Arial" w:cs="Arial"/>
          <w:sz w:val="25"/>
          <w:szCs w:val="25"/>
        </w:rPr>
      </w:pPr>
    </w:p>
    <w:p w14:paraId="4021831F" w14:textId="3002C8B9" w:rsidR="00413001" w:rsidRPr="00521CF4" w:rsidRDefault="00413001" w:rsidP="000350E3">
      <w:pPr>
        <w:spacing w:line="276" w:lineRule="auto"/>
        <w:jc w:val="both"/>
        <w:rPr>
          <w:rFonts w:ascii="Arial" w:hAnsi="Arial" w:cs="Arial"/>
          <w:sz w:val="25"/>
          <w:szCs w:val="25"/>
        </w:rPr>
      </w:pPr>
      <w:r w:rsidRPr="00521CF4">
        <w:rPr>
          <w:rFonts w:ascii="Arial" w:hAnsi="Arial" w:cs="Arial"/>
          <w:sz w:val="25"/>
          <w:szCs w:val="25"/>
        </w:rPr>
        <w:lastRenderedPageBreak/>
        <w:t xml:space="preserve">Adicionalmente, en tanto prestan un servicio a consumidores finales a través de contratos </w:t>
      </w:r>
      <w:r w:rsidR="00134391" w:rsidRPr="00521CF4">
        <w:rPr>
          <w:rFonts w:ascii="Arial" w:hAnsi="Arial" w:cs="Arial"/>
          <w:sz w:val="25"/>
          <w:szCs w:val="25"/>
        </w:rPr>
        <w:t>aprobad</w:t>
      </w:r>
      <w:r w:rsidR="00482B32" w:rsidRPr="00521CF4">
        <w:rPr>
          <w:rFonts w:ascii="Arial" w:hAnsi="Arial" w:cs="Arial"/>
          <w:sz w:val="25"/>
          <w:szCs w:val="25"/>
        </w:rPr>
        <w:t xml:space="preserve">os </w:t>
      </w:r>
      <w:r w:rsidR="000E4E24" w:rsidRPr="00521CF4">
        <w:rPr>
          <w:rFonts w:ascii="Arial" w:hAnsi="Arial" w:cs="Arial"/>
          <w:sz w:val="25"/>
          <w:szCs w:val="25"/>
        </w:rPr>
        <w:t>administrativamente</w:t>
      </w:r>
      <w:r w:rsidRPr="00521CF4">
        <w:rPr>
          <w:rFonts w:ascii="Arial" w:hAnsi="Arial" w:cs="Arial"/>
          <w:sz w:val="25"/>
          <w:szCs w:val="25"/>
        </w:rPr>
        <w:t xml:space="preserve">, les resulta plenamente aplicable la Ley </w:t>
      </w:r>
      <w:proofErr w:type="spellStart"/>
      <w:r w:rsidRPr="00521CF4">
        <w:rPr>
          <w:rFonts w:ascii="Arial" w:hAnsi="Arial" w:cs="Arial"/>
          <w:sz w:val="25"/>
          <w:szCs w:val="25"/>
        </w:rPr>
        <w:t>N.°</w:t>
      </w:r>
      <w:proofErr w:type="spellEnd"/>
      <w:r w:rsidRPr="00521CF4">
        <w:rPr>
          <w:rFonts w:ascii="Arial" w:hAnsi="Arial" w:cs="Arial"/>
          <w:sz w:val="25"/>
          <w:szCs w:val="25"/>
        </w:rPr>
        <w:t xml:space="preserve"> 29571, Código de Protección y Defensa del Consumidor</w:t>
      </w:r>
      <w:r w:rsidR="000E4E24" w:rsidRPr="00521CF4">
        <w:rPr>
          <w:rStyle w:val="Refdenotaalpie"/>
          <w:rFonts w:ascii="Arial" w:hAnsi="Arial" w:cs="Arial"/>
          <w:sz w:val="25"/>
          <w:szCs w:val="25"/>
        </w:rPr>
        <w:footnoteReference w:id="5"/>
      </w:r>
      <w:r w:rsidRPr="00521CF4">
        <w:rPr>
          <w:rFonts w:ascii="Arial" w:hAnsi="Arial" w:cs="Arial"/>
          <w:sz w:val="25"/>
          <w:szCs w:val="25"/>
        </w:rPr>
        <w:t>, particularmente en lo que concierne al deber de idoneidad, al derecho a la información y a la prohibición de cláusulas abusivas, principios que rigen toda relación de consumo</w:t>
      </w:r>
      <w:r w:rsidR="007F4509" w:rsidRPr="00521CF4">
        <w:rPr>
          <w:rFonts w:ascii="Arial" w:hAnsi="Arial" w:cs="Arial"/>
          <w:sz w:val="25"/>
          <w:szCs w:val="25"/>
        </w:rPr>
        <w:t>.</w:t>
      </w:r>
    </w:p>
    <w:p w14:paraId="20F55DDF" w14:textId="77777777" w:rsidR="000350E3" w:rsidRPr="00521CF4" w:rsidRDefault="000350E3" w:rsidP="000350E3">
      <w:pPr>
        <w:spacing w:line="276" w:lineRule="auto"/>
        <w:jc w:val="both"/>
        <w:rPr>
          <w:rFonts w:ascii="Arial" w:hAnsi="Arial" w:cs="Arial"/>
          <w:sz w:val="25"/>
          <w:szCs w:val="25"/>
        </w:rPr>
      </w:pPr>
    </w:p>
    <w:p w14:paraId="2875D16C" w14:textId="77777777" w:rsidR="000E4E24" w:rsidRPr="00521CF4" w:rsidRDefault="00413001" w:rsidP="000350E3">
      <w:pPr>
        <w:spacing w:line="276" w:lineRule="auto"/>
        <w:jc w:val="both"/>
        <w:rPr>
          <w:rFonts w:ascii="Arial" w:hAnsi="Arial" w:cs="Arial"/>
          <w:sz w:val="25"/>
          <w:szCs w:val="25"/>
        </w:rPr>
      </w:pPr>
      <w:r w:rsidRPr="00521CF4">
        <w:rPr>
          <w:rFonts w:ascii="Arial" w:hAnsi="Arial" w:cs="Arial"/>
          <w:sz w:val="25"/>
          <w:szCs w:val="25"/>
        </w:rPr>
        <w:t xml:space="preserve">La relación jurídica subyacente es, por tanto, un contrato de consumo sujeto a un doble marco normativo: </w:t>
      </w:r>
    </w:p>
    <w:p w14:paraId="6F19D29A" w14:textId="77777777" w:rsidR="000E4E24" w:rsidRPr="00521CF4" w:rsidRDefault="000E4E24" w:rsidP="000350E3">
      <w:pPr>
        <w:spacing w:line="276" w:lineRule="auto"/>
        <w:jc w:val="both"/>
        <w:rPr>
          <w:rFonts w:ascii="Arial" w:hAnsi="Arial" w:cs="Arial"/>
          <w:sz w:val="25"/>
          <w:szCs w:val="25"/>
        </w:rPr>
      </w:pPr>
    </w:p>
    <w:p w14:paraId="3396006B" w14:textId="77777777" w:rsidR="000E4E24" w:rsidRPr="00521CF4" w:rsidRDefault="000E4E24" w:rsidP="000E4E24">
      <w:pPr>
        <w:pStyle w:val="Prrafodelista"/>
        <w:numPr>
          <w:ilvl w:val="0"/>
          <w:numId w:val="3"/>
        </w:numPr>
        <w:spacing w:line="276" w:lineRule="auto"/>
        <w:jc w:val="both"/>
        <w:rPr>
          <w:rFonts w:ascii="Arial" w:hAnsi="Arial" w:cs="Arial"/>
          <w:sz w:val="25"/>
          <w:szCs w:val="25"/>
        </w:rPr>
      </w:pPr>
      <w:r w:rsidRPr="00521CF4">
        <w:rPr>
          <w:rFonts w:ascii="Arial" w:hAnsi="Arial" w:cs="Arial"/>
          <w:sz w:val="25"/>
          <w:szCs w:val="25"/>
        </w:rPr>
        <w:t>E</w:t>
      </w:r>
      <w:r w:rsidR="00413001" w:rsidRPr="00521CF4">
        <w:rPr>
          <w:rFonts w:ascii="Arial" w:hAnsi="Arial" w:cs="Arial"/>
          <w:sz w:val="25"/>
          <w:szCs w:val="25"/>
        </w:rPr>
        <w:t>l sectorial, que regula la operatividad del sistema</w:t>
      </w:r>
    </w:p>
    <w:p w14:paraId="0B1CBAD3" w14:textId="77777777" w:rsidR="000E4E24" w:rsidRPr="00521CF4" w:rsidRDefault="000E4E24" w:rsidP="000E4E24">
      <w:pPr>
        <w:pStyle w:val="Prrafodelista"/>
        <w:numPr>
          <w:ilvl w:val="0"/>
          <w:numId w:val="3"/>
        </w:numPr>
        <w:spacing w:line="276" w:lineRule="auto"/>
        <w:jc w:val="both"/>
        <w:rPr>
          <w:rFonts w:ascii="Arial" w:hAnsi="Arial" w:cs="Arial"/>
          <w:sz w:val="25"/>
          <w:szCs w:val="25"/>
        </w:rPr>
      </w:pPr>
      <w:r w:rsidRPr="00521CF4">
        <w:rPr>
          <w:rFonts w:ascii="Arial" w:hAnsi="Arial" w:cs="Arial"/>
          <w:sz w:val="25"/>
          <w:szCs w:val="25"/>
        </w:rPr>
        <w:t>E</w:t>
      </w:r>
      <w:r w:rsidR="00413001" w:rsidRPr="00521CF4">
        <w:rPr>
          <w:rFonts w:ascii="Arial" w:hAnsi="Arial" w:cs="Arial"/>
          <w:sz w:val="25"/>
          <w:szCs w:val="25"/>
        </w:rPr>
        <w:t xml:space="preserve">l </w:t>
      </w:r>
      <w:proofErr w:type="spellStart"/>
      <w:r w:rsidR="00413001" w:rsidRPr="00521CF4">
        <w:rPr>
          <w:rFonts w:ascii="Arial" w:hAnsi="Arial" w:cs="Arial"/>
          <w:sz w:val="25"/>
          <w:szCs w:val="25"/>
        </w:rPr>
        <w:t>consumerista</w:t>
      </w:r>
      <w:proofErr w:type="spellEnd"/>
      <w:r w:rsidR="00413001" w:rsidRPr="00521CF4">
        <w:rPr>
          <w:rFonts w:ascii="Arial" w:hAnsi="Arial" w:cs="Arial"/>
          <w:sz w:val="25"/>
          <w:szCs w:val="25"/>
        </w:rPr>
        <w:t>, que tutela los derechos del</w:t>
      </w:r>
      <w:r w:rsidR="00F45679" w:rsidRPr="00521CF4">
        <w:rPr>
          <w:rFonts w:ascii="Arial" w:hAnsi="Arial" w:cs="Arial"/>
          <w:sz w:val="25"/>
          <w:szCs w:val="25"/>
        </w:rPr>
        <w:t xml:space="preserve"> as</w:t>
      </w:r>
      <w:r w:rsidR="00D54958" w:rsidRPr="00521CF4">
        <w:rPr>
          <w:rFonts w:ascii="Arial" w:hAnsi="Arial" w:cs="Arial"/>
          <w:sz w:val="25"/>
          <w:szCs w:val="25"/>
        </w:rPr>
        <w:t>ociado</w:t>
      </w:r>
      <w:r w:rsidR="00413001" w:rsidRPr="00521CF4">
        <w:rPr>
          <w:rFonts w:ascii="Arial" w:hAnsi="Arial" w:cs="Arial"/>
          <w:sz w:val="25"/>
          <w:szCs w:val="25"/>
        </w:rPr>
        <w:t xml:space="preserve"> en su condición de parte débil de la relación contractual. </w:t>
      </w:r>
    </w:p>
    <w:p w14:paraId="47B6CC9B" w14:textId="77777777" w:rsidR="000E4E24" w:rsidRPr="00521CF4" w:rsidRDefault="000E4E24" w:rsidP="000E4E24">
      <w:pPr>
        <w:spacing w:line="276" w:lineRule="auto"/>
        <w:jc w:val="both"/>
        <w:rPr>
          <w:rFonts w:ascii="Arial" w:hAnsi="Arial" w:cs="Arial"/>
          <w:sz w:val="25"/>
          <w:szCs w:val="25"/>
        </w:rPr>
      </w:pPr>
    </w:p>
    <w:p w14:paraId="60B00C35" w14:textId="3AF79909" w:rsidR="00413001" w:rsidRPr="00521CF4" w:rsidRDefault="00413001" w:rsidP="000E4E24">
      <w:pPr>
        <w:spacing w:line="276" w:lineRule="auto"/>
        <w:jc w:val="both"/>
        <w:rPr>
          <w:rFonts w:ascii="Arial" w:hAnsi="Arial" w:cs="Arial"/>
          <w:sz w:val="25"/>
          <w:szCs w:val="25"/>
        </w:rPr>
      </w:pPr>
      <w:r w:rsidRPr="00521CF4">
        <w:rPr>
          <w:rFonts w:ascii="Arial" w:hAnsi="Arial" w:cs="Arial"/>
          <w:sz w:val="25"/>
          <w:szCs w:val="25"/>
        </w:rPr>
        <w:t>En consecuencia, la supervisión de estas empresas se encuentra distribuida entre la Superintendencia del Mercado de Valores (SMV), que ejerce control sobre su constitución y funcionamiento operativo, y el INDECOPI, que es competente para conocer y sancionar las infracciones a la normativa de protección al consumidor derivadas de la ejecución de estos contratos.</w:t>
      </w:r>
    </w:p>
    <w:p w14:paraId="3F8356FA" w14:textId="77777777" w:rsidR="000350E3" w:rsidRPr="00521CF4" w:rsidRDefault="000350E3" w:rsidP="000350E3">
      <w:pPr>
        <w:spacing w:line="276" w:lineRule="auto"/>
        <w:jc w:val="both"/>
        <w:rPr>
          <w:rFonts w:ascii="Arial" w:hAnsi="Arial" w:cs="Arial"/>
          <w:sz w:val="25"/>
          <w:szCs w:val="25"/>
        </w:rPr>
      </w:pPr>
    </w:p>
    <w:p w14:paraId="6BE3731A" w14:textId="58CA1BE3" w:rsidR="008E47C5" w:rsidRPr="00521CF4" w:rsidRDefault="00B47335" w:rsidP="000350E3">
      <w:pPr>
        <w:spacing w:line="276" w:lineRule="auto"/>
        <w:jc w:val="both"/>
        <w:rPr>
          <w:rFonts w:ascii="Arial" w:hAnsi="Arial" w:cs="Arial"/>
          <w:b/>
          <w:bCs/>
          <w:sz w:val="25"/>
          <w:szCs w:val="25"/>
        </w:rPr>
      </w:pPr>
      <w:r w:rsidRPr="00521CF4">
        <w:rPr>
          <w:rFonts w:ascii="Arial" w:hAnsi="Arial" w:cs="Arial"/>
          <w:b/>
          <w:bCs/>
          <w:sz w:val="25"/>
          <w:szCs w:val="25"/>
        </w:rPr>
        <w:t>III. LA VÍA PENAL: ¿CONFIGURA ESTAFA EL INCUMPLIMIENTO DE UN FONDO COLECTIVO?</w:t>
      </w:r>
    </w:p>
    <w:p w14:paraId="6FF8AB55" w14:textId="77777777" w:rsidR="000350E3" w:rsidRPr="00521CF4" w:rsidRDefault="000350E3" w:rsidP="000350E3">
      <w:pPr>
        <w:spacing w:line="276" w:lineRule="auto"/>
        <w:jc w:val="both"/>
        <w:rPr>
          <w:rFonts w:ascii="Arial" w:hAnsi="Arial" w:cs="Arial"/>
          <w:b/>
          <w:bCs/>
          <w:sz w:val="25"/>
          <w:szCs w:val="25"/>
        </w:rPr>
      </w:pPr>
    </w:p>
    <w:p w14:paraId="4BF7D8A9" w14:textId="26938FBE" w:rsidR="48F25268" w:rsidRPr="00521CF4" w:rsidRDefault="00B47335" w:rsidP="000350E3">
      <w:pPr>
        <w:spacing w:line="276" w:lineRule="auto"/>
        <w:jc w:val="both"/>
        <w:rPr>
          <w:rFonts w:ascii="Arial" w:eastAsia="Calibri" w:hAnsi="Arial" w:cs="Arial"/>
          <w:sz w:val="25"/>
          <w:szCs w:val="25"/>
        </w:rPr>
      </w:pPr>
      <w:r w:rsidRPr="00521CF4">
        <w:rPr>
          <w:rFonts w:ascii="Arial" w:hAnsi="Arial" w:cs="Arial"/>
          <w:sz w:val="25"/>
          <w:szCs w:val="25"/>
        </w:rPr>
        <w:t xml:space="preserve">El delito de estafa, tipificado en el artículo 196° del Código Penal peruano, </w:t>
      </w:r>
      <w:r w:rsidR="0A8CEBE7" w:rsidRPr="00521CF4">
        <w:rPr>
          <w:rFonts w:ascii="Arial" w:eastAsia="Calibri" w:hAnsi="Arial" w:cs="Arial"/>
          <w:sz w:val="25"/>
          <w:szCs w:val="25"/>
        </w:rPr>
        <w:t>los cuales, a la letra, especifican que:</w:t>
      </w:r>
    </w:p>
    <w:p w14:paraId="5B0062DB" w14:textId="77777777" w:rsidR="000350E3" w:rsidRPr="00521CF4" w:rsidRDefault="000350E3" w:rsidP="000350E3">
      <w:pPr>
        <w:spacing w:line="276" w:lineRule="auto"/>
        <w:jc w:val="both"/>
        <w:rPr>
          <w:rFonts w:ascii="Arial" w:eastAsia="Calibri" w:hAnsi="Arial" w:cs="Arial"/>
          <w:sz w:val="25"/>
          <w:szCs w:val="25"/>
        </w:rPr>
      </w:pPr>
    </w:p>
    <w:p w14:paraId="567EE934" w14:textId="4D083B70" w:rsidR="008E47C5" w:rsidRPr="00521CF4" w:rsidRDefault="0A8CEBE7" w:rsidP="000350E3">
      <w:pPr>
        <w:spacing w:line="276" w:lineRule="auto"/>
        <w:ind w:left="1134"/>
        <w:jc w:val="both"/>
        <w:rPr>
          <w:rFonts w:ascii="Arial" w:hAnsi="Arial" w:cs="Arial"/>
          <w:i/>
          <w:iCs/>
          <w:sz w:val="25"/>
          <w:szCs w:val="25"/>
        </w:rPr>
      </w:pPr>
      <w:r w:rsidRPr="00521CF4">
        <w:rPr>
          <w:rFonts w:ascii="Arial" w:hAnsi="Arial" w:cs="Arial"/>
          <w:i/>
          <w:iCs/>
          <w:sz w:val="25"/>
          <w:szCs w:val="25"/>
        </w:rPr>
        <w:t>El que procura para sí o para otro un provecho ilícito en perjuicio de tercero, induciendo o manteniendo en error al agraviado mediante engaño, astucia, ardid u otra forma fraudulenta […]</w:t>
      </w:r>
    </w:p>
    <w:p w14:paraId="1B682ECD" w14:textId="26E8551A" w:rsidR="3F5F63DD" w:rsidRPr="00521CF4" w:rsidRDefault="3F5F63DD" w:rsidP="000350E3">
      <w:pPr>
        <w:spacing w:line="276" w:lineRule="auto"/>
        <w:ind w:left="1134"/>
        <w:jc w:val="both"/>
        <w:rPr>
          <w:rFonts w:ascii="Arial" w:hAnsi="Arial" w:cs="Arial"/>
          <w:i/>
          <w:iCs/>
          <w:sz w:val="25"/>
          <w:szCs w:val="25"/>
        </w:rPr>
      </w:pPr>
    </w:p>
    <w:p w14:paraId="2DDB9655" w14:textId="6AF7D1E4" w:rsidR="008E47C5" w:rsidRPr="00521CF4" w:rsidRDefault="4E14F866" w:rsidP="000350E3">
      <w:pPr>
        <w:spacing w:line="276" w:lineRule="auto"/>
        <w:jc w:val="both"/>
        <w:rPr>
          <w:rFonts w:ascii="Arial" w:hAnsi="Arial" w:cs="Arial"/>
          <w:sz w:val="25"/>
          <w:szCs w:val="25"/>
        </w:rPr>
      </w:pPr>
      <w:r w:rsidRPr="00521CF4">
        <w:rPr>
          <w:rFonts w:ascii="Arial" w:hAnsi="Arial" w:cs="Arial"/>
          <w:sz w:val="25"/>
          <w:szCs w:val="25"/>
        </w:rPr>
        <w:t xml:space="preserve">En </w:t>
      </w:r>
      <w:r w:rsidR="00521CF4" w:rsidRPr="00521CF4">
        <w:rPr>
          <w:rFonts w:ascii="Arial" w:hAnsi="Arial" w:cs="Arial"/>
          <w:sz w:val="25"/>
          <w:szCs w:val="25"/>
        </w:rPr>
        <w:t>términos</w:t>
      </w:r>
      <w:r w:rsidRPr="00521CF4">
        <w:rPr>
          <w:rFonts w:ascii="Arial" w:hAnsi="Arial" w:cs="Arial"/>
          <w:sz w:val="25"/>
          <w:szCs w:val="25"/>
        </w:rPr>
        <w:t xml:space="preserve"> precisos consiste en la utilización del engaño como medio para obtener un beneficio económico, ya sea en provecho propio o ajeno, a costa del menoscabo patrimonial de la víctima. En términos más precisos, puede definirse como el perjuicio patrimonial causalmente atribuible a un acto de fraude, pero que se </w:t>
      </w:r>
      <w:r w:rsidR="345C907B" w:rsidRPr="00521CF4">
        <w:rPr>
          <w:rFonts w:ascii="Arial" w:hAnsi="Arial" w:cs="Arial"/>
          <w:sz w:val="25"/>
          <w:szCs w:val="25"/>
        </w:rPr>
        <w:t>requerirá</w:t>
      </w:r>
      <w:r w:rsidRPr="00521CF4">
        <w:rPr>
          <w:rFonts w:ascii="Arial" w:hAnsi="Arial" w:cs="Arial"/>
          <w:sz w:val="25"/>
          <w:szCs w:val="25"/>
        </w:rPr>
        <w:t xml:space="preserve"> </w:t>
      </w:r>
      <w:r w:rsidR="00B47335" w:rsidRPr="00521CF4">
        <w:rPr>
          <w:rFonts w:ascii="Arial" w:hAnsi="Arial" w:cs="Arial"/>
          <w:sz w:val="25"/>
          <w:szCs w:val="25"/>
        </w:rPr>
        <w:t xml:space="preserve">la concurrencia copulativa de cuatro </w:t>
      </w:r>
      <w:r w:rsidR="00B47335" w:rsidRPr="00521CF4">
        <w:rPr>
          <w:rFonts w:ascii="Arial" w:hAnsi="Arial" w:cs="Arial"/>
          <w:sz w:val="25"/>
          <w:szCs w:val="25"/>
        </w:rPr>
        <w:lastRenderedPageBreak/>
        <w:t>elementos</w:t>
      </w:r>
      <w:r w:rsidR="708A4A4C" w:rsidRPr="00521CF4">
        <w:rPr>
          <w:rFonts w:ascii="Arial" w:hAnsi="Arial" w:cs="Arial"/>
          <w:sz w:val="25"/>
          <w:szCs w:val="25"/>
        </w:rPr>
        <w:t xml:space="preserve"> normativos de orden secuencial</w:t>
      </w:r>
      <w:r w:rsidR="6421F167" w:rsidRPr="00521CF4">
        <w:rPr>
          <w:rFonts w:ascii="Arial" w:hAnsi="Arial" w:cs="Arial"/>
          <w:sz w:val="25"/>
          <w:szCs w:val="25"/>
        </w:rPr>
        <w:t>, a partir de los diversos pronunciamientos de la Corte Suprema</w:t>
      </w:r>
      <w:r w:rsidRPr="00521CF4">
        <w:rPr>
          <w:rFonts w:ascii="Arial" w:hAnsi="Arial" w:cs="Arial"/>
          <w:sz w:val="25"/>
          <w:szCs w:val="25"/>
        </w:rPr>
        <w:footnoteReference w:id="6"/>
      </w:r>
      <w:r w:rsidR="00B47335" w:rsidRPr="00521CF4">
        <w:rPr>
          <w:rFonts w:ascii="Arial" w:hAnsi="Arial" w:cs="Arial"/>
          <w:sz w:val="25"/>
          <w:szCs w:val="25"/>
        </w:rPr>
        <w:t xml:space="preserve">: </w:t>
      </w:r>
      <w:r w:rsidR="5B0377D2" w:rsidRPr="00521CF4">
        <w:rPr>
          <w:rFonts w:ascii="Arial" w:hAnsi="Arial" w:cs="Arial"/>
          <w:sz w:val="25"/>
          <w:szCs w:val="25"/>
        </w:rPr>
        <w:t xml:space="preserve">1) </w:t>
      </w:r>
      <w:r w:rsidR="00B47335" w:rsidRPr="00521CF4">
        <w:rPr>
          <w:rFonts w:ascii="Arial" w:hAnsi="Arial" w:cs="Arial"/>
          <w:sz w:val="25"/>
          <w:szCs w:val="25"/>
        </w:rPr>
        <w:t xml:space="preserve">el engaño, </w:t>
      </w:r>
      <w:r w:rsidR="2BD7C84A" w:rsidRPr="00521CF4">
        <w:rPr>
          <w:rFonts w:ascii="Arial" w:hAnsi="Arial" w:cs="Arial"/>
          <w:sz w:val="25"/>
          <w:szCs w:val="25"/>
        </w:rPr>
        <w:t xml:space="preserve">2) </w:t>
      </w:r>
      <w:r w:rsidR="00B47335" w:rsidRPr="00521CF4">
        <w:rPr>
          <w:rFonts w:ascii="Arial" w:hAnsi="Arial" w:cs="Arial"/>
          <w:sz w:val="25"/>
          <w:szCs w:val="25"/>
        </w:rPr>
        <w:t xml:space="preserve">el error inducido en la víctima, </w:t>
      </w:r>
      <w:r w:rsidR="05089201" w:rsidRPr="00521CF4">
        <w:rPr>
          <w:rFonts w:ascii="Arial" w:hAnsi="Arial" w:cs="Arial"/>
          <w:sz w:val="25"/>
          <w:szCs w:val="25"/>
        </w:rPr>
        <w:t xml:space="preserve">3) </w:t>
      </w:r>
      <w:r w:rsidR="00B47335" w:rsidRPr="00521CF4">
        <w:rPr>
          <w:rFonts w:ascii="Arial" w:hAnsi="Arial" w:cs="Arial"/>
          <w:sz w:val="25"/>
          <w:szCs w:val="25"/>
        </w:rPr>
        <w:t xml:space="preserve">la disposición patrimonial perjudicial y </w:t>
      </w:r>
      <w:r w:rsidR="3E6E185D" w:rsidRPr="00521CF4">
        <w:rPr>
          <w:rFonts w:ascii="Arial" w:hAnsi="Arial" w:cs="Arial"/>
          <w:sz w:val="25"/>
          <w:szCs w:val="25"/>
        </w:rPr>
        <w:t xml:space="preserve">4) </w:t>
      </w:r>
      <w:r w:rsidR="26605317" w:rsidRPr="00521CF4">
        <w:rPr>
          <w:rFonts w:ascii="Arial" w:hAnsi="Arial" w:cs="Arial"/>
          <w:sz w:val="25"/>
          <w:szCs w:val="25"/>
        </w:rPr>
        <w:t xml:space="preserve">Perjuicio </w:t>
      </w:r>
      <w:r w:rsidR="74575BDD" w:rsidRPr="00521CF4">
        <w:rPr>
          <w:rFonts w:ascii="Arial" w:hAnsi="Arial" w:cs="Arial"/>
          <w:sz w:val="25"/>
          <w:szCs w:val="25"/>
        </w:rPr>
        <w:t>económico</w:t>
      </w:r>
      <w:r w:rsidR="26605317" w:rsidRPr="00521CF4">
        <w:rPr>
          <w:rFonts w:ascii="Arial" w:hAnsi="Arial" w:cs="Arial"/>
          <w:sz w:val="25"/>
          <w:szCs w:val="25"/>
        </w:rPr>
        <w:t xml:space="preserve"> ocasionado al sujeto pasivo</w:t>
      </w:r>
      <w:r w:rsidR="00B47335" w:rsidRPr="00521CF4">
        <w:rPr>
          <w:rFonts w:ascii="Arial" w:hAnsi="Arial" w:cs="Arial"/>
          <w:sz w:val="25"/>
          <w:szCs w:val="25"/>
        </w:rPr>
        <w:t xml:space="preserve">. </w:t>
      </w:r>
    </w:p>
    <w:p w14:paraId="25FEC8DB" w14:textId="77777777" w:rsidR="000350E3" w:rsidRPr="00521CF4" w:rsidRDefault="000350E3" w:rsidP="000350E3">
      <w:pPr>
        <w:spacing w:line="276" w:lineRule="auto"/>
        <w:jc w:val="both"/>
        <w:rPr>
          <w:rFonts w:ascii="Arial" w:hAnsi="Arial" w:cs="Arial"/>
          <w:sz w:val="25"/>
          <w:szCs w:val="25"/>
        </w:rPr>
      </w:pPr>
    </w:p>
    <w:p w14:paraId="6F8F4632" w14:textId="1092B02F" w:rsidR="000350E3" w:rsidRPr="00521CF4" w:rsidRDefault="67DDC656" w:rsidP="000350E3">
      <w:pPr>
        <w:spacing w:line="276" w:lineRule="auto"/>
        <w:jc w:val="both"/>
        <w:rPr>
          <w:rFonts w:ascii="Arial" w:hAnsi="Arial" w:cs="Arial"/>
          <w:sz w:val="25"/>
          <w:szCs w:val="25"/>
        </w:rPr>
      </w:pPr>
      <w:r w:rsidRPr="00521CF4">
        <w:rPr>
          <w:rFonts w:ascii="Arial" w:hAnsi="Arial" w:cs="Arial"/>
          <w:sz w:val="25"/>
          <w:szCs w:val="25"/>
        </w:rPr>
        <w:t>Ahora</w:t>
      </w:r>
      <w:r w:rsidR="56F63298" w:rsidRPr="00521CF4">
        <w:rPr>
          <w:rFonts w:ascii="Arial" w:hAnsi="Arial" w:cs="Arial"/>
          <w:sz w:val="25"/>
          <w:szCs w:val="25"/>
        </w:rPr>
        <w:t xml:space="preserve"> el </w:t>
      </w:r>
      <w:r w:rsidR="77BE7C75" w:rsidRPr="00521CF4">
        <w:rPr>
          <w:rFonts w:ascii="Arial" w:hAnsi="Arial" w:cs="Arial"/>
          <w:sz w:val="25"/>
          <w:szCs w:val="25"/>
        </w:rPr>
        <w:t>engaño, entendido como el medio del que se sirve el agente para provocar, de manera voluntaria pero viciada, el desplazamiento patrimonial por parte de la víctima. Para que el engaño sea típicamente relevante, debe reunir tres condiciones indispensables: debe producirse antes de que el error se genere en el sujeto pasivo; debe ser la causa directa de dicho error; y debe ser idóneo, es decir, suficientemente eficaz para vencer incluso los mecanismos de protección jurídica con los que cuenta la víctima</w:t>
      </w:r>
      <w:r w:rsidR="000350E3" w:rsidRPr="00521CF4">
        <w:rPr>
          <w:rFonts w:ascii="Arial" w:hAnsi="Arial" w:cs="Arial"/>
          <w:sz w:val="25"/>
          <w:szCs w:val="25"/>
        </w:rPr>
        <w:t>.</w:t>
      </w:r>
    </w:p>
    <w:p w14:paraId="7DA9D3E2" w14:textId="77777777" w:rsidR="000350E3" w:rsidRPr="00521CF4" w:rsidRDefault="000350E3" w:rsidP="000350E3">
      <w:pPr>
        <w:spacing w:line="276" w:lineRule="auto"/>
        <w:jc w:val="both"/>
        <w:rPr>
          <w:rFonts w:ascii="Arial" w:hAnsi="Arial" w:cs="Arial"/>
          <w:sz w:val="25"/>
          <w:szCs w:val="25"/>
        </w:rPr>
      </w:pPr>
    </w:p>
    <w:p w14:paraId="3CAB01E9" w14:textId="2CA512EC" w:rsidR="008E47C5" w:rsidRPr="00521CF4" w:rsidRDefault="77BE7C75" w:rsidP="000350E3">
      <w:pPr>
        <w:spacing w:line="276" w:lineRule="auto"/>
        <w:jc w:val="both"/>
        <w:rPr>
          <w:rFonts w:ascii="Arial" w:hAnsi="Arial" w:cs="Arial"/>
          <w:sz w:val="25"/>
          <w:szCs w:val="25"/>
        </w:rPr>
      </w:pPr>
      <w:r w:rsidRPr="00521CF4">
        <w:rPr>
          <w:rFonts w:ascii="Arial" w:hAnsi="Arial" w:cs="Arial"/>
          <w:sz w:val="25"/>
          <w:szCs w:val="25"/>
        </w:rPr>
        <w:t>Como consecuencia del engaño surge el error, definido como el estado psicológico en que se encuentra la víctima tras haber sido inducida en una falsa representación de la realidad. Este estado debe ser de certeza y no de mera duda, pues ante la duda siempre existe la posibilidad de superar el error. Es importante destacar que cuando el error proviene de la negligencia de la propia víctima, ello excluye la eficacia real del fraude y, con ello, la imputación al sujeto activo.</w:t>
      </w:r>
    </w:p>
    <w:p w14:paraId="68E02B1E" w14:textId="77777777" w:rsidR="000350E3" w:rsidRPr="00521CF4" w:rsidRDefault="000350E3" w:rsidP="000350E3">
      <w:pPr>
        <w:spacing w:line="276" w:lineRule="auto"/>
        <w:jc w:val="both"/>
        <w:rPr>
          <w:rFonts w:ascii="Arial" w:hAnsi="Arial" w:cs="Arial"/>
          <w:sz w:val="25"/>
          <w:szCs w:val="25"/>
        </w:rPr>
      </w:pPr>
    </w:p>
    <w:p w14:paraId="7850AF61" w14:textId="1D23737C" w:rsidR="008E47C5" w:rsidRPr="00521CF4" w:rsidRDefault="77BE7C75" w:rsidP="000350E3">
      <w:pPr>
        <w:spacing w:line="276" w:lineRule="auto"/>
        <w:jc w:val="both"/>
        <w:rPr>
          <w:rFonts w:ascii="Arial" w:hAnsi="Arial" w:cs="Arial"/>
          <w:sz w:val="25"/>
          <w:szCs w:val="25"/>
        </w:rPr>
      </w:pPr>
      <w:r w:rsidRPr="00521CF4">
        <w:rPr>
          <w:rFonts w:ascii="Arial" w:hAnsi="Arial" w:cs="Arial"/>
          <w:sz w:val="25"/>
          <w:szCs w:val="25"/>
        </w:rPr>
        <w:t>A partir del error se produce la disposición patrimonial, es decir, el comportamiento activo u omisivo</w:t>
      </w:r>
      <w:r w:rsidR="02FB2EBE" w:rsidRPr="00521CF4">
        <w:rPr>
          <w:rFonts w:ascii="Arial" w:hAnsi="Arial" w:cs="Arial"/>
          <w:sz w:val="25"/>
          <w:szCs w:val="25"/>
        </w:rPr>
        <w:t xml:space="preserve"> </w:t>
      </w:r>
      <w:r w:rsidRPr="00521CF4">
        <w:rPr>
          <w:rFonts w:ascii="Arial" w:hAnsi="Arial" w:cs="Arial"/>
          <w:sz w:val="25"/>
          <w:szCs w:val="25"/>
        </w:rPr>
        <w:t>mediante el cual la víctima, de manera voluntaria y directa, genera un daño en su propio patrimonio. Esta disposición conduce al último elemento: el provecho ilícito que obtiene el sujeto activo para sí o para un tercero.</w:t>
      </w:r>
      <w:r w:rsidR="3170F383" w:rsidRPr="00521CF4">
        <w:rPr>
          <w:rFonts w:ascii="Arial" w:hAnsi="Arial" w:cs="Arial"/>
          <w:sz w:val="25"/>
          <w:szCs w:val="25"/>
        </w:rPr>
        <w:t xml:space="preserve"> </w:t>
      </w:r>
    </w:p>
    <w:p w14:paraId="72CAC25C" w14:textId="77777777" w:rsidR="000350E3" w:rsidRPr="00521CF4" w:rsidRDefault="000350E3" w:rsidP="000350E3">
      <w:pPr>
        <w:spacing w:line="276" w:lineRule="auto"/>
        <w:jc w:val="both"/>
        <w:rPr>
          <w:rFonts w:ascii="Arial" w:hAnsi="Arial" w:cs="Arial"/>
          <w:sz w:val="25"/>
          <w:szCs w:val="25"/>
        </w:rPr>
      </w:pPr>
    </w:p>
    <w:p w14:paraId="1251C951" w14:textId="412BA035" w:rsidR="3170F383" w:rsidRPr="00521CF4" w:rsidRDefault="3170F383" w:rsidP="000350E3">
      <w:pPr>
        <w:spacing w:line="276" w:lineRule="auto"/>
        <w:jc w:val="both"/>
        <w:rPr>
          <w:rFonts w:ascii="Arial" w:hAnsi="Arial" w:cs="Arial"/>
          <w:sz w:val="25"/>
          <w:szCs w:val="25"/>
        </w:rPr>
      </w:pPr>
      <w:r w:rsidRPr="00521CF4">
        <w:rPr>
          <w:rFonts w:ascii="Arial" w:hAnsi="Arial" w:cs="Arial"/>
          <w:sz w:val="25"/>
          <w:szCs w:val="25"/>
        </w:rPr>
        <w:t xml:space="preserve">En palabras de Caro </w:t>
      </w:r>
      <w:proofErr w:type="spellStart"/>
      <w:r w:rsidRPr="00521CF4">
        <w:rPr>
          <w:rFonts w:ascii="Arial" w:hAnsi="Arial" w:cs="Arial"/>
          <w:sz w:val="25"/>
          <w:szCs w:val="25"/>
        </w:rPr>
        <w:t>Jhon</w:t>
      </w:r>
      <w:proofErr w:type="spellEnd"/>
      <w:r w:rsidRPr="00521CF4">
        <w:rPr>
          <w:rFonts w:ascii="Arial" w:hAnsi="Arial" w:cs="Arial"/>
          <w:sz w:val="25"/>
          <w:szCs w:val="25"/>
        </w:rPr>
        <w:footnoteReference w:id="7"/>
      </w:r>
      <w:r w:rsidRPr="00521CF4">
        <w:rPr>
          <w:rFonts w:ascii="Arial" w:hAnsi="Arial" w:cs="Arial"/>
          <w:sz w:val="25"/>
          <w:szCs w:val="25"/>
        </w:rPr>
        <w:t>, “se configura cuando el agente haciendo uso del engaño, astucia, ardid u otra fraudulencia induce o mantiene en error al sujeto pasivo con la finalidad de hacer que este en su perjuicio s</w:t>
      </w:r>
      <w:r w:rsidR="1AAA1AC2" w:rsidRPr="00521CF4">
        <w:rPr>
          <w:rFonts w:ascii="Arial" w:hAnsi="Arial" w:cs="Arial"/>
          <w:sz w:val="25"/>
          <w:szCs w:val="25"/>
        </w:rPr>
        <w:t>e desprenda de su patrimonio o parte de él)</w:t>
      </w:r>
    </w:p>
    <w:p w14:paraId="01E26F37" w14:textId="1FDE08DF" w:rsidR="008E47C5" w:rsidRPr="00521CF4" w:rsidRDefault="77BE7C75" w:rsidP="000350E3">
      <w:pPr>
        <w:spacing w:line="276" w:lineRule="auto"/>
        <w:jc w:val="both"/>
        <w:rPr>
          <w:rFonts w:ascii="Arial" w:hAnsi="Arial" w:cs="Arial"/>
          <w:sz w:val="25"/>
          <w:szCs w:val="25"/>
        </w:rPr>
      </w:pPr>
      <w:r w:rsidRPr="00521CF4">
        <w:rPr>
          <w:rFonts w:ascii="Arial" w:hAnsi="Arial" w:cs="Arial"/>
          <w:sz w:val="25"/>
          <w:szCs w:val="25"/>
        </w:rPr>
        <w:t>Desde el plano subjetivo, la estafa es un delito netamente doloso. El agente debe actuar con pleno conocimiento y voluntad de realizar los elementos objetivos del tipo, dirigiendo su conducta mediante ardid, fraude o engaño, con la finalidad de crear una apariencia ficticia que no corresponde con la realidad.</w:t>
      </w:r>
    </w:p>
    <w:p w14:paraId="7DBAA786" w14:textId="77777777" w:rsidR="000350E3" w:rsidRPr="00521CF4" w:rsidRDefault="000350E3" w:rsidP="000350E3">
      <w:pPr>
        <w:spacing w:line="276" w:lineRule="auto"/>
        <w:jc w:val="both"/>
        <w:rPr>
          <w:rFonts w:ascii="Arial" w:hAnsi="Arial" w:cs="Arial"/>
          <w:sz w:val="25"/>
          <w:szCs w:val="25"/>
        </w:rPr>
      </w:pPr>
    </w:p>
    <w:p w14:paraId="0BD50E36" w14:textId="599BB2B4" w:rsidR="5AD9D879" w:rsidRPr="00521CF4" w:rsidRDefault="5AD9D879" w:rsidP="000350E3">
      <w:pPr>
        <w:spacing w:line="276" w:lineRule="auto"/>
        <w:jc w:val="both"/>
        <w:rPr>
          <w:rFonts w:ascii="Arial" w:hAnsi="Arial" w:cs="Arial"/>
          <w:sz w:val="25"/>
          <w:szCs w:val="25"/>
        </w:rPr>
      </w:pPr>
      <w:r w:rsidRPr="00521CF4">
        <w:rPr>
          <w:rFonts w:ascii="Arial" w:hAnsi="Arial" w:cs="Arial"/>
          <w:sz w:val="25"/>
          <w:szCs w:val="25"/>
        </w:rPr>
        <w:t>En el escenario típico de los fondos colectivos, lo que el adherente experimenta no es el resultado de un engaño doloso previo, sino la frustración de expectativas derivadas de una comprensión equivocada del producto contratado. El contrato suscrito describe con precisión el funcionamiento del sistema: la adjudicación por sorteo o remate, la inexistencia de una fecha garantizada de entrega, y las condiciones de permanencia en el grupo. Cuando la empresa no entrega el bien en el plazo que el adherente incorrectamente esperaba, ello no configura el engaño típico del delito de estafa, sino, en el mejor de los casos, una posible infracción a los deberes de información y transparencia que impone el Código de Protección al Consumidor.</w:t>
      </w:r>
    </w:p>
    <w:p w14:paraId="7D39B076" w14:textId="77777777" w:rsidR="000350E3" w:rsidRPr="00521CF4" w:rsidRDefault="000350E3" w:rsidP="000350E3">
      <w:pPr>
        <w:spacing w:line="276" w:lineRule="auto"/>
        <w:jc w:val="both"/>
        <w:rPr>
          <w:rFonts w:ascii="Arial" w:hAnsi="Arial" w:cs="Arial"/>
          <w:sz w:val="25"/>
          <w:szCs w:val="25"/>
        </w:rPr>
      </w:pPr>
    </w:p>
    <w:p w14:paraId="4C45D746" w14:textId="4FECDDE3" w:rsidR="170A2236" w:rsidRPr="00521CF4" w:rsidRDefault="5AD9D879" w:rsidP="000350E3">
      <w:pPr>
        <w:spacing w:line="276" w:lineRule="auto"/>
        <w:jc w:val="both"/>
        <w:rPr>
          <w:rFonts w:ascii="Arial" w:hAnsi="Arial" w:cs="Arial"/>
          <w:sz w:val="25"/>
          <w:szCs w:val="25"/>
        </w:rPr>
      </w:pPr>
      <w:r w:rsidRPr="00521CF4">
        <w:rPr>
          <w:rFonts w:ascii="Arial" w:hAnsi="Arial" w:cs="Arial"/>
          <w:sz w:val="25"/>
          <w:szCs w:val="25"/>
        </w:rPr>
        <w:t xml:space="preserve">La doctrina nacional y comparada ha sido consistente en trazar una línea clara entre incumplimiento contractual en el ámbito civil (Art. 1314 y 1428 del Código Civil peruano) y estafa. Mientras el primero se configura con el simple incumplimiento deliberado de una obligación contractual; el segundo </w:t>
      </w:r>
      <w:r w:rsidR="77BE7C75" w:rsidRPr="00521CF4">
        <w:rPr>
          <w:rFonts w:ascii="Arial" w:hAnsi="Arial" w:cs="Arial"/>
          <w:sz w:val="25"/>
          <w:szCs w:val="25"/>
        </w:rPr>
        <w:t xml:space="preserve">exige algo más que un incumplimiento contractual o una expectativa frustrada. Requiere la verificación estricta y sucesiva de sus elementos típicos, siendo el engaño idóneo su columna vertebral. </w:t>
      </w:r>
    </w:p>
    <w:p w14:paraId="3E363298" w14:textId="77777777" w:rsidR="000350E3" w:rsidRPr="00521CF4" w:rsidRDefault="000350E3" w:rsidP="000350E3">
      <w:pPr>
        <w:spacing w:line="276" w:lineRule="auto"/>
        <w:jc w:val="both"/>
        <w:rPr>
          <w:rFonts w:ascii="Arial" w:hAnsi="Arial" w:cs="Arial"/>
          <w:sz w:val="25"/>
          <w:szCs w:val="25"/>
        </w:rPr>
      </w:pPr>
    </w:p>
    <w:p w14:paraId="7083BB38" w14:textId="41570CFD" w:rsidR="008E47C5" w:rsidRPr="00521CF4" w:rsidRDefault="4A3C1867" w:rsidP="000350E3">
      <w:pPr>
        <w:spacing w:line="276" w:lineRule="auto"/>
        <w:jc w:val="both"/>
        <w:rPr>
          <w:rFonts w:ascii="Arial" w:hAnsi="Arial" w:cs="Arial"/>
          <w:sz w:val="25"/>
          <w:szCs w:val="25"/>
        </w:rPr>
      </w:pPr>
      <w:r w:rsidRPr="00521CF4">
        <w:rPr>
          <w:rFonts w:ascii="Arial" w:hAnsi="Arial" w:cs="Arial"/>
          <w:sz w:val="25"/>
          <w:szCs w:val="25"/>
        </w:rPr>
        <w:t xml:space="preserve">Mezclar ambas figuras </w:t>
      </w:r>
      <w:r w:rsidR="00DE2B9C" w:rsidRPr="00521CF4">
        <w:rPr>
          <w:rFonts w:ascii="Arial" w:hAnsi="Arial" w:cs="Arial"/>
          <w:sz w:val="25"/>
          <w:szCs w:val="25"/>
        </w:rPr>
        <w:t>jurídicas</w:t>
      </w:r>
      <w:r w:rsidRPr="00521CF4">
        <w:rPr>
          <w:rFonts w:ascii="Arial" w:hAnsi="Arial" w:cs="Arial"/>
          <w:sz w:val="25"/>
          <w:szCs w:val="25"/>
        </w:rPr>
        <w:t xml:space="preserve"> y comenzar a admitir denuncias por el delito de estafa </w:t>
      </w:r>
      <w:r w:rsidR="00DE2B9C" w:rsidRPr="00521CF4">
        <w:rPr>
          <w:rFonts w:ascii="Arial" w:hAnsi="Arial" w:cs="Arial"/>
          <w:sz w:val="25"/>
          <w:szCs w:val="25"/>
        </w:rPr>
        <w:t>basándose</w:t>
      </w:r>
      <w:r w:rsidR="1435D2C6" w:rsidRPr="00521CF4">
        <w:rPr>
          <w:rFonts w:ascii="Arial" w:hAnsi="Arial" w:cs="Arial"/>
          <w:sz w:val="25"/>
          <w:szCs w:val="25"/>
        </w:rPr>
        <w:t xml:space="preserve"> </w:t>
      </w:r>
      <w:r w:rsidR="00B47335" w:rsidRPr="00521CF4">
        <w:rPr>
          <w:rFonts w:ascii="Arial" w:hAnsi="Arial" w:cs="Arial"/>
          <w:sz w:val="25"/>
          <w:szCs w:val="25"/>
        </w:rPr>
        <w:t xml:space="preserve">en incumplimientos contractuales supone una grave </w:t>
      </w:r>
      <w:r w:rsidR="68B942B1" w:rsidRPr="00521CF4">
        <w:rPr>
          <w:rFonts w:ascii="Arial" w:hAnsi="Arial" w:cs="Arial"/>
          <w:sz w:val="25"/>
          <w:szCs w:val="25"/>
        </w:rPr>
        <w:t xml:space="preserve">vulneración al uso </w:t>
      </w:r>
      <w:r w:rsidR="00B47335" w:rsidRPr="00521CF4">
        <w:rPr>
          <w:rFonts w:ascii="Arial" w:hAnsi="Arial" w:cs="Arial"/>
          <w:sz w:val="25"/>
          <w:szCs w:val="25"/>
        </w:rPr>
        <w:t>del sistema penal</w:t>
      </w:r>
      <w:r w:rsidR="5A61212F" w:rsidRPr="00521CF4">
        <w:rPr>
          <w:rFonts w:ascii="Arial" w:hAnsi="Arial" w:cs="Arial"/>
          <w:sz w:val="25"/>
          <w:szCs w:val="25"/>
        </w:rPr>
        <w:t xml:space="preserve">, como al </w:t>
      </w:r>
      <w:r w:rsidR="00B47335" w:rsidRPr="00521CF4">
        <w:rPr>
          <w:rFonts w:ascii="Arial" w:hAnsi="Arial" w:cs="Arial"/>
          <w:sz w:val="25"/>
          <w:szCs w:val="25"/>
        </w:rPr>
        <w:t xml:space="preserve">principio de última ratio, </w:t>
      </w:r>
      <w:r w:rsidR="5A8614BD" w:rsidRPr="00521CF4">
        <w:rPr>
          <w:rFonts w:ascii="Arial" w:hAnsi="Arial" w:cs="Arial"/>
          <w:sz w:val="25"/>
          <w:szCs w:val="25"/>
        </w:rPr>
        <w:t xml:space="preserve">y al principio de legalidad </w:t>
      </w:r>
      <w:r w:rsidR="5D1D2809" w:rsidRPr="00521CF4">
        <w:rPr>
          <w:rFonts w:ascii="Arial" w:hAnsi="Arial" w:cs="Arial"/>
          <w:sz w:val="25"/>
          <w:szCs w:val="25"/>
        </w:rPr>
        <w:t xml:space="preserve">que caracterizan al </w:t>
      </w:r>
      <w:r w:rsidR="00B47335" w:rsidRPr="00521CF4">
        <w:rPr>
          <w:rFonts w:ascii="Arial" w:hAnsi="Arial" w:cs="Arial"/>
          <w:sz w:val="25"/>
          <w:szCs w:val="25"/>
        </w:rPr>
        <w:t>Derecho Penal</w:t>
      </w:r>
      <w:r w:rsidR="46EB1BF3" w:rsidRPr="00521CF4">
        <w:rPr>
          <w:rFonts w:ascii="Arial" w:hAnsi="Arial" w:cs="Arial"/>
          <w:sz w:val="25"/>
          <w:szCs w:val="25"/>
        </w:rPr>
        <w:t>.</w:t>
      </w:r>
      <w:r w:rsidR="489A77A4" w:rsidRPr="00521CF4">
        <w:rPr>
          <w:rFonts w:ascii="Arial" w:hAnsi="Arial" w:cs="Arial"/>
          <w:sz w:val="25"/>
          <w:szCs w:val="25"/>
        </w:rPr>
        <w:t xml:space="preserve"> A</w:t>
      </w:r>
      <w:r w:rsidR="00B47335" w:rsidRPr="00521CF4">
        <w:rPr>
          <w:rFonts w:ascii="Arial" w:hAnsi="Arial" w:cs="Arial"/>
          <w:sz w:val="25"/>
          <w:szCs w:val="25"/>
        </w:rPr>
        <w:t xml:space="preserve">demás, </w:t>
      </w:r>
      <w:r w:rsidR="4675CC7D" w:rsidRPr="00521CF4">
        <w:rPr>
          <w:rFonts w:ascii="Arial" w:hAnsi="Arial" w:cs="Arial"/>
          <w:sz w:val="25"/>
          <w:szCs w:val="25"/>
        </w:rPr>
        <w:t>de</w:t>
      </w:r>
      <w:r w:rsidR="00B47335" w:rsidRPr="00521CF4">
        <w:rPr>
          <w:rFonts w:ascii="Arial" w:hAnsi="Arial" w:cs="Arial"/>
          <w:sz w:val="25"/>
          <w:szCs w:val="25"/>
        </w:rPr>
        <w:t xml:space="preserve"> somete</w:t>
      </w:r>
      <w:r w:rsidR="5935DF0F" w:rsidRPr="00521CF4">
        <w:rPr>
          <w:rFonts w:ascii="Arial" w:hAnsi="Arial" w:cs="Arial"/>
          <w:sz w:val="25"/>
          <w:szCs w:val="25"/>
        </w:rPr>
        <w:t>r</w:t>
      </w:r>
      <w:r w:rsidR="00B47335" w:rsidRPr="00521CF4">
        <w:rPr>
          <w:rFonts w:ascii="Arial" w:hAnsi="Arial" w:cs="Arial"/>
          <w:sz w:val="25"/>
          <w:szCs w:val="25"/>
        </w:rPr>
        <w:t xml:space="preserve"> a las empresas y a sus representantes a investigaciones penales costosas y prolongadas por conductas que, en rigor, no superan el umbral de lo extrapenal; desincentiva la inversión y el desarrollo del sector; y, paradójicamente, no resuelve el problema del adherente afectado, quien difícilmente obtendrá una reparación efectiva a través de la vía penal.</w:t>
      </w:r>
    </w:p>
    <w:p w14:paraId="6A43F148" w14:textId="77777777" w:rsidR="000350E3" w:rsidRPr="00521CF4" w:rsidRDefault="000350E3" w:rsidP="000350E3">
      <w:pPr>
        <w:spacing w:line="276" w:lineRule="auto"/>
        <w:jc w:val="both"/>
        <w:rPr>
          <w:rFonts w:ascii="Arial" w:hAnsi="Arial" w:cs="Arial"/>
          <w:sz w:val="25"/>
          <w:szCs w:val="25"/>
        </w:rPr>
      </w:pPr>
    </w:p>
    <w:p w14:paraId="08B2483C" w14:textId="3D1D0B22" w:rsidR="008E47C5" w:rsidRPr="00E020B7" w:rsidRDefault="00B47335" w:rsidP="000350E3">
      <w:pPr>
        <w:spacing w:line="276" w:lineRule="auto"/>
        <w:jc w:val="both"/>
        <w:rPr>
          <w:rFonts w:ascii="Arial" w:hAnsi="Arial" w:cs="Arial"/>
          <w:b/>
          <w:bCs/>
          <w:sz w:val="25"/>
          <w:szCs w:val="25"/>
        </w:rPr>
      </w:pPr>
      <w:r w:rsidRPr="00E020B7">
        <w:rPr>
          <w:rFonts w:ascii="Arial" w:hAnsi="Arial" w:cs="Arial"/>
          <w:b/>
          <w:bCs/>
          <w:sz w:val="25"/>
          <w:szCs w:val="25"/>
        </w:rPr>
        <w:t>IV. LA VÍA CIVIL: EL INCUMPLIMIENTO CONTRACTUAL COMO SEDE NATURAL DEL CONFLICTO</w:t>
      </w:r>
    </w:p>
    <w:p w14:paraId="61BE1911" w14:textId="77777777" w:rsidR="000350E3" w:rsidRPr="00E020B7" w:rsidRDefault="000350E3" w:rsidP="000350E3">
      <w:pPr>
        <w:spacing w:line="276" w:lineRule="auto"/>
        <w:jc w:val="both"/>
        <w:rPr>
          <w:rFonts w:ascii="Arial" w:hAnsi="Arial" w:cs="Arial"/>
          <w:b/>
          <w:bCs/>
          <w:sz w:val="25"/>
          <w:szCs w:val="25"/>
        </w:rPr>
      </w:pPr>
    </w:p>
    <w:p w14:paraId="40935E89" w14:textId="64B7FFF7" w:rsidR="00FD0C6B" w:rsidRPr="00521CF4" w:rsidRDefault="00CE4CF6" w:rsidP="000350E3">
      <w:pPr>
        <w:spacing w:line="276" w:lineRule="auto"/>
        <w:jc w:val="both"/>
        <w:rPr>
          <w:rFonts w:ascii="Arial" w:hAnsi="Arial" w:cs="Arial"/>
          <w:sz w:val="25"/>
          <w:szCs w:val="25"/>
        </w:rPr>
      </w:pPr>
      <w:r w:rsidRPr="00521CF4">
        <w:rPr>
          <w:rFonts w:ascii="Arial" w:hAnsi="Arial" w:cs="Arial"/>
          <w:sz w:val="25"/>
          <w:szCs w:val="25"/>
        </w:rPr>
        <w:t>El contrato de administración de fondos colectivos es, ciertamente, un contrato de naturaleza civil con proyección comercial, pero no se trata de un contrato paritario ni libremente negociado en todos sus extremos. Es un contrato por adhesión, estructurado conforme a un programa y a un modelo contractual que deben ser previamente autorizados por la SMV, conforme a</w:t>
      </w:r>
      <w:r w:rsidR="002520F7" w:rsidRPr="00521CF4">
        <w:rPr>
          <w:rFonts w:ascii="Arial" w:hAnsi="Arial" w:cs="Arial"/>
          <w:sz w:val="25"/>
          <w:szCs w:val="25"/>
        </w:rPr>
        <w:t xml:space="preserve">l </w:t>
      </w:r>
      <w:r w:rsidRPr="00521CF4">
        <w:rPr>
          <w:rFonts w:ascii="Arial" w:hAnsi="Arial" w:cs="Arial"/>
          <w:sz w:val="25"/>
          <w:szCs w:val="25"/>
        </w:rPr>
        <w:t xml:space="preserve">Reglamento SMV </w:t>
      </w:r>
      <w:proofErr w:type="spellStart"/>
      <w:r w:rsidRPr="00521CF4">
        <w:rPr>
          <w:rFonts w:ascii="Arial" w:hAnsi="Arial" w:cs="Arial"/>
          <w:sz w:val="25"/>
          <w:szCs w:val="25"/>
        </w:rPr>
        <w:t>N.°</w:t>
      </w:r>
      <w:proofErr w:type="spellEnd"/>
      <w:r w:rsidRPr="00521CF4">
        <w:rPr>
          <w:rFonts w:ascii="Arial" w:hAnsi="Arial" w:cs="Arial"/>
          <w:sz w:val="25"/>
          <w:szCs w:val="25"/>
        </w:rPr>
        <w:t xml:space="preserve"> 020-2014-SMV/01. </w:t>
      </w:r>
    </w:p>
    <w:p w14:paraId="79239BBB" w14:textId="77777777" w:rsidR="000350E3" w:rsidRPr="00521CF4" w:rsidRDefault="000350E3" w:rsidP="000350E3">
      <w:pPr>
        <w:spacing w:line="276" w:lineRule="auto"/>
        <w:jc w:val="both"/>
        <w:rPr>
          <w:rFonts w:ascii="Arial" w:hAnsi="Arial" w:cs="Arial"/>
          <w:sz w:val="25"/>
          <w:szCs w:val="25"/>
        </w:rPr>
      </w:pPr>
    </w:p>
    <w:p w14:paraId="2139281C" w14:textId="1E496F42" w:rsidR="00CE4CF6" w:rsidRPr="00521CF4" w:rsidRDefault="00CE4CF6" w:rsidP="000350E3">
      <w:pPr>
        <w:spacing w:line="276" w:lineRule="auto"/>
        <w:jc w:val="both"/>
        <w:rPr>
          <w:rFonts w:ascii="Arial" w:hAnsi="Arial" w:cs="Arial"/>
          <w:sz w:val="25"/>
          <w:szCs w:val="25"/>
        </w:rPr>
      </w:pPr>
      <w:r w:rsidRPr="00521CF4">
        <w:rPr>
          <w:rFonts w:ascii="Arial" w:hAnsi="Arial" w:cs="Arial"/>
          <w:sz w:val="25"/>
          <w:szCs w:val="25"/>
        </w:rPr>
        <w:t>En consecuencia, sus cláusulas no surgen de la voluntad unilateral e irrestricta de la administradora: su contenido mínimo está normativamente delimitado por el Reglamento, que establece con precisión los elementos que debe contener el contrato, desde las modalidades de adjudicación y las causales de resolución hasta las penalidades aplicables y el régimen de devolución de aportes. Las obligaciones de ambas partes del asociado, pagar las cuotas conforme al programa; de la administradora, gestionar el fondo, celebrar las asambleas y adjudicar el bien no son arbitrarias ni discrecionales, sino que se encuentran regladas en los artículos 35°, 97°, 99°, 108° y concordantes del citado Reglamento.</w:t>
      </w:r>
    </w:p>
    <w:p w14:paraId="19C86255" w14:textId="77777777" w:rsidR="000350E3" w:rsidRPr="00521CF4" w:rsidRDefault="000350E3" w:rsidP="000350E3">
      <w:pPr>
        <w:spacing w:line="276" w:lineRule="auto"/>
        <w:jc w:val="both"/>
        <w:rPr>
          <w:rFonts w:ascii="Arial" w:hAnsi="Arial" w:cs="Arial"/>
          <w:sz w:val="25"/>
          <w:szCs w:val="25"/>
        </w:rPr>
      </w:pPr>
    </w:p>
    <w:p w14:paraId="28C46E06" w14:textId="61E7D673" w:rsidR="00CE4CF6" w:rsidRPr="00521CF4" w:rsidRDefault="00CE4CF6" w:rsidP="000350E3">
      <w:pPr>
        <w:spacing w:line="276" w:lineRule="auto"/>
        <w:jc w:val="both"/>
        <w:rPr>
          <w:rFonts w:ascii="Arial" w:hAnsi="Arial" w:cs="Arial"/>
          <w:sz w:val="25"/>
          <w:szCs w:val="25"/>
        </w:rPr>
      </w:pPr>
      <w:r w:rsidRPr="00521CF4">
        <w:rPr>
          <w:rFonts w:ascii="Arial" w:hAnsi="Arial" w:cs="Arial"/>
          <w:sz w:val="25"/>
          <w:szCs w:val="25"/>
        </w:rPr>
        <w:t>Esta naturaleza normativa del contrato tiene una consecuencia hermenéutica fundamental: la resolución contractual, la devolución de aportes y la aplicación de penalidades no responden únicamente al régimen general del Código Civil, sino que deben observar prioritariamente lo establecido en el Reglamento y en el propio contrato aprobado administrativamente. Si la administradora ejecuta la resolución del contrato, aplica las penalidades conforme a las reglas reglamentarias y contractuales previamente autorizadas por la SMV, no puede sostenerse válidamente que exista defraudación penal por el solo hecho de que el resultado no satisfaga al asociado. El contrato operó dentro del marco regulatorio para el que fue diseñado y supervisado.</w:t>
      </w:r>
    </w:p>
    <w:p w14:paraId="070032BA" w14:textId="77777777" w:rsidR="000350E3" w:rsidRPr="00521CF4" w:rsidRDefault="000350E3" w:rsidP="000350E3">
      <w:pPr>
        <w:spacing w:line="276" w:lineRule="auto"/>
        <w:jc w:val="both"/>
        <w:rPr>
          <w:rFonts w:ascii="Arial" w:hAnsi="Arial" w:cs="Arial"/>
          <w:sz w:val="25"/>
          <w:szCs w:val="25"/>
        </w:rPr>
      </w:pPr>
    </w:p>
    <w:p w14:paraId="4253DF6B" w14:textId="772754FE" w:rsidR="00FA7B39" w:rsidRPr="00521CF4" w:rsidRDefault="00FA7B39" w:rsidP="000350E3">
      <w:pPr>
        <w:spacing w:line="276" w:lineRule="auto"/>
        <w:jc w:val="both"/>
        <w:rPr>
          <w:rFonts w:ascii="Arial" w:hAnsi="Arial" w:cs="Arial"/>
          <w:sz w:val="25"/>
          <w:szCs w:val="25"/>
        </w:rPr>
      </w:pPr>
      <w:r w:rsidRPr="00521CF4">
        <w:rPr>
          <w:rFonts w:ascii="Arial" w:hAnsi="Arial" w:cs="Arial"/>
          <w:sz w:val="25"/>
          <w:szCs w:val="25"/>
        </w:rPr>
        <w:t>Sin embargo, este es el punto medular del análisis: el hecho de que el contrato sea de adhesión y esté encuadrado administrativamente no altera su naturaleza obligacional de derecho privado. Sigue siendo fuente de obligaciones patrimoniales. Sigue siendo susceptible de incumplimiento. Y las consecuencias jurídicas primarias de ese incumplimiento siguen siendo civiles, no penales. La intervención de la SMV tiene carácter supervisor, correctivo y sancionador en sede administrativa, pero no convierte el incumplimiento contractual reglado en ilícito penal. El propio Reglamento lo confirma: su artículo 69°, al regular la obligación de la administradora de informar a sus clientes sobre los canales de denuncia ante INDECOPI, añade expresamente que los asociados que se consideren afectados por la conducta de la administradora pueden acudir a la vía judicial o arbitral correspondiente. El ordenamiento sectorial diseñó, así, un sistema de tutela articulado en torno a tres vías: la administrativa ante INDECOPI o la SMV, la judicial y la arbitral. La vía penal no forma parte de ese diseño normativo.</w:t>
      </w:r>
    </w:p>
    <w:p w14:paraId="6EB83DA9" w14:textId="77777777" w:rsidR="000350E3" w:rsidRPr="00521CF4" w:rsidRDefault="000350E3" w:rsidP="000350E3">
      <w:pPr>
        <w:spacing w:line="276" w:lineRule="auto"/>
        <w:jc w:val="both"/>
        <w:rPr>
          <w:rFonts w:ascii="Arial" w:hAnsi="Arial" w:cs="Arial"/>
          <w:sz w:val="25"/>
          <w:szCs w:val="25"/>
        </w:rPr>
      </w:pPr>
    </w:p>
    <w:p w14:paraId="63FD2F85" w14:textId="3AF479F4" w:rsidR="00B0004A" w:rsidRPr="00521CF4" w:rsidRDefault="00A72F5E" w:rsidP="000350E3">
      <w:pPr>
        <w:spacing w:line="276" w:lineRule="auto"/>
        <w:jc w:val="both"/>
        <w:rPr>
          <w:rFonts w:ascii="Arial" w:hAnsi="Arial" w:cs="Arial"/>
          <w:sz w:val="25"/>
          <w:szCs w:val="25"/>
        </w:rPr>
      </w:pPr>
      <w:r w:rsidRPr="00521CF4">
        <w:rPr>
          <w:rFonts w:ascii="Arial" w:hAnsi="Arial" w:cs="Arial"/>
          <w:sz w:val="25"/>
          <w:szCs w:val="25"/>
        </w:rPr>
        <w:lastRenderedPageBreak/>
        <w:t xml:space="preserve">El carácter normativo del contrato refuerza, esta conclusión: si el conflicto surge de la ejecución o el incumplimiento de reglas previamente establecidas, aprobadas y publicadas, el escenario adecuado para su resolución es aquel en que dichas reglas se interpretan y aplican con pleno conocimiento de su contexto regulatorio. Ese escenario es la jurisdicción civil, el arbitraje o el procedimiento administrativo ante INDECOPI o la SMV, tal como lo prevé el propio artículo 69° del Reglamento, no el proceso penal. </w:t>
      </w:r>
    </w:p>
    <w:p w14:paraId="1DD97981" w14:textId="77777777" w:rsidR="000350E3" w:rsidRPr="00521CF4" w:rsidRDefault="000350E3" w:rsidP="000350E3">
      <w:pPr>
        <w:spacing w:line="276" w:lineRule="auto"/>
        <w:jc w:val="both"/>
        <w:rPr>
          <w:rFonts w:ascii="Arial" w:hAnsi="Arial" w:cs="Arial"/>
          <w:sz w:val="25"/>
          <w:szCs w:val="25"/>
        </w:rPr>
      </w:pPr>
    </w:p>
    <w:p w14:paraId="57720C4E" w14:textId="202989D8" w:rsidR="008E47C5" w:rsidRPr="00521CF4" w:rsidRDefault="00A72F5E" w:rsidP="000350E3">
      <w:pPr>
        <w:spacing w:line="276" w:lineRule="auto"/>
        <w:jc w:val="both"/>
        <w:rPr>
          <w:rFonts w:ascii="Arial" w:hAnsi="Arial" w:cs="Arial"/>
          <w:sz w:val="25"/>
          <w:szCs w:val="25"/>
        </w:rPr>
      </w:pPr>
      <w:r w:rsidRPr="00521CF4">
        <w:rPr>
          <w:rFonts w:ascii="Arial" w:hAnsi="Arial" w:cs="Arial"/>
          <w:sz w:val="25"/>
          <w:szCs w:val="25"/>
        </w:rPr>
        <w:t xml:space="preserve">Solo cuando se acredite que la estructura contractual fue utilizada como instrumento de engaño desde el origen esto es, cuando exista dolo antecedente demostrado, anterior a la suscripción del contrato y configurativo del ardid o engaño que exige el tipo penal de estafa podría desplazarse legítimamente la discusión hacia la órbita penal. Fuera de </w:t>
      </w:r>
      <w:r w:rsidR="3C010257" w:rsidRPr="00521CF4">
        <w:rPr>
          <w:rFonts w:ascii="Arial" w:hAnsi="Arial" w:cs="Arial"/>
          <w:sz w:val="25"/>
          <w:szCs w:val="25"/>
        </w:rPr>
        <w:t>ello</w:t>
      </w:r>
      <w:r w:rsidRPr="00521CF4">
        <w:rPr>
          <w:rFonts w:ascii="Arial" w:hAnsi="Arial" w:cs="Arial"/>
          <w:sz w:val="25"/>
          <w:szCs w:val="25"/>
        </w:rPr>
        <w:t xml:space="preserve">, </w:t>
      </w:r>
      <w:r w:rsidR="7BDA0980" w:rsidRPr="00521CF4">
        <w:rPr>
          <w:rFonts w:ascii="Arial" w:hAnsi="Arial" w:cs="Arial"/>
          <w:sz w:val="25"/>
          <w:szCs w:val="25"/>
        </w:rPr>
        <w:t>recurrir al</w:t>
      </w:r>
      <w:r w:rsidRPr="00521CF4">
        <w:rPr>
          <w:rFonts w:ascii="Arial" w:hAnsi="Arial" w:cs="Arial"/>
          <w:sz w:val="25"/>
          <w:szCs w:val="25"/>
        </w:rPr>
        <w:t xml:space="preserve"> derecho penal constituye un</w:t>
      </w:r>
      <w:r w:rsidR="549190C0" w:rsidRPr="00521CF4">
        <w:rPr>
          <w:rFonts w:ascii="Arial" w:hAnsi="Arial" w:cs="Arial"/>
          <w:sz w:val="25"/>
          <w:szCs w:val="25"/>
        </w:rPr>
        <w:t xml:space="preserve"> obstáculo </w:t>
      </w:r>
      <w:r w:rsidRPr="00521CF4">
        <w:rPr>
          <w:rFonts w:ascii="Arial" w:hAnsi="Arial" w:cs="Arial"/>
          <w:sz w:val="25"/>
          <w:szCs w:val="25"/>
        </w:rPr>
        <w:t>para resolver lo que es, por su propia naturaleza jurídica, un conflicto contractual de derecho privado</w:t>
      </w:r>
      <w:r w:rsidR="341F2A17" w:rsidRPr="00521CF4">
        <w:rPr>
          <w:rFonts w:ascii="Arial" w:hAnsi="Arial" w:cs="Arial"/>
          <w:sz w:val="25"/>
          <w:szCs w:val="25"/>
        </w:rPr>
        <w:t>.</w:t>
      </w:r>
    </w:p>
    <w:p w14:paraId="7C5AE044" w14:textId="77777777" w:rsidR="000350E3" w:rsidRPr="000350E3" w:rsidRDefault="000350E3" w:rsidP="000350E3">
      <w:pPr>
        <w:spacing w:line="276" w:lineRule="auto"/>
        <w:jc w:val="both"/>
        <w:rPr>
          <w:rFonts w:ascii="Arial" w:hAnsi="Arial" w:cs="Arial"/>
          <w:sz w:val="25"/>
          <w:szCs w:val="25"/>
          <w:highlight w:val="green"/>
        </w:rPr>
      </w:pPr>
    </w:p>
    <w:p w14:paraId="4D4EEEB7" w14:textId="77777777" w:rsidR="008E47C5" w:rsidRPr="000E4E24" w:rsidRDefault="00B47335" w:rsidP="000350E3">
      <w:pPr>
        <w:spacing w:line="276" w:lineRule="auto"/>
        <w:jc w:val="both"/>
        <w:rPr>
          <w:rFonts w:ascii="Arial" w:hAnsi="Arial" w:cs="Arial"/>
          <w:b/>
          <w:bCs/>
          <w:sz w:val="25"/>
          <w:szCs w:val="25"/>
        </w:rPr>
      </w:pPr>
      <w:r w:rsidRPr="000E4E24">
        <w:rPr>
          <w:rFonts w:ascii="Arial" w:hAnsi="Arial" w:cs="Arial"/>
          <w:b/>
          <w:bCs/>
          <w:sz w:val="25"/>
          <w:szCs w:val="25"/>
        </w:rPr>
        <w:t>V. LA VÍA ADMINISTRATIVA: INDECOPI Y LA INFRACCIÓN AL CÓDIGO DE PROTECCIÓN AL CONSUMIDOR</w:t>
      </w:r>
    </w:p>
    <w:p w14:paraId="3C7EDC96" w14:textId="77777777" w:rsidR="000350E3" w:rsidRPr="000350E3" w:rsidRDefault="000350E3" w:rsidP="000350E3">
      <w:pPr>
        <w:spacing w:line="276" w:lineRule="auto"/>
        <w:jc w:val="both"/>
        <w:rPr>
          <w:rFonts w:ascii="Arial" w:hAnsi="Arial" w:cs="Arial"/>
          <w:sz w:val="25"/>
          <w:szCs w:val="25"/>
        </w:rPr>
      </w:pPr>
    </w:p>
    <w:p w14:paraId="6828CF46" w14:textId="576B8747" w:rsidR="008E47C5" w:rsidRPr="000350E3" w:rsidRDefault="000E4E24" w:rsidP="000350E3">
      <w:pPr>
        <w:spacing w:line="276" w:lineRule="auto"/>
        <w:jc w:val="both"/>
        <w:rPr>
          <w:rFonts w:ascii="Arial" w:hAnsi="Arial" w:cs="Arial"/>
          <w:sz w:val="25"/>
          <w:szCs w:val="25"/>
        </w:rPr>
      </w:pPr>
      <w:r>
        <w:rPr>
          <w:rFonts w:ascii="Arial" w:hAnsi="Arial" w:cs="Arial"/>
          <w:sz w:val="25"/>
          <w:szCs w:val="25"/>
        </w:rPr>
        <w:t>E</w:t>
      </w:r>
      <w:r w:rsidR="00B47335" w:rsidRPr="000350E3">
        <w:rPr>
          <w:rFonts w:ascii="Arial" w:hAnsi="Arial" w:cs="Arial"/>
          <w:sz w:val="25"/>
          <w:szCs w:val="25"/>
        </w:rPr>
        <w:t xml:space="preserve">l contrato de fondo colectivo </w:t>
      </w:r>
      <w:r>
        <w:rPr>
          <w:rFonts w:ascii="Arial" w:hAnsi="Arial" w:cs="Arial"/>
          <w:sz w:val="25"/>
          <w:szCs w:val="25"/>
        </w:rPr>
        <w:t xml:space="preserve">se caracteriza como </w:t>
      </w:r>
      <w:r w:rsidR="00B47335" w:rsidRPr="000350E3">
        <w:rPr>
          <w:rFonts w:ascii="Arial" w:hAnsi="Arial" w:cs="Arial"/>
          <w:sz w:val="25"/>
          <w:szCs w:val="25"/>
        </w:rPr>
        <w:t xml:space="preserve">un contrato de consumo, </w:t>
      </w:r>
      <w:r>
        <w:rPr>
          <w:rFonts w:ascii="Arial" w:hAnsi="Arial" w:cs="Arial"/>
          <w:sz w:val="25"/>
          <w:szCs w:val="25"/>
        </w:rPr>
        <w:t xml:space="preserve">siendo </w:t>
      </w:r>
      <w:r w:rsidR="00B47335" w:rsidRPr="000350E3">
        <w:rPr>
          <w:rFonts w:ascii="Arial" w:hAnsi="Arial" w:cs="Arial"/>
          <w:sz w:val="25"/>
          <w:szCs w:val="25"/>
        </w:rPr>
        <w:t xml:space="preserve">la vía administrativa </w:t>
      </w:r>
      <w:r>
        <w:rPr>
          <w:rFonts w:ascii="Arial" w:hAnsi="Arial" w:cs="Arial"/>
          <w:sz w:val="25"/>
          <w:szCs w:val="25"/>
        </w:rPr>
        <w:t xml:space="preserve">más idónea el </w:t>
      </w:r>
      <w:r w:rsidR="00B47335" w:rsidRPr="000350E3">
        <w:rPr>
          <w:rFonts w:ascii="Arial" w:hAnsi="Arial" w:cs="Arial"/>
          <w:sz w:val="25"/>
          <w:szCs w:val="25"/>
        </w:rPr>
        <w:t xml:space="preserve">INDECOPI </w:t>
      </w:r>
      <w:r>
        <w:rPr>
          <w:rFonts w:ascii="Arial" w:hAnsi="Arial" w:cs="Arial"/>
          <w:sz w:val="25"/>
          <w:szCs w:val="25"/>
        </w:rPr>
        <w:t xml:space="preserve">por su </w:t>
      </w:r>
      <w:r w:rsidR="00B47335" w:rsidRPr="000350E3">
        <w:rPr>
          <w:rFonts w:ascii="Arial" w:hAnsi="Arial" w:cs="Arial"/>
          <w:sz w:val="25"/>
          <w:szCs w:val="25"/>
        </w:rPr>
        <w:t>naturaleza jurídica del conflicto. E</w:t>
      </w:r>
      <w:r>
        <w:rPr>
          <w:rFonts w:ascii="Arial" w:hAnsi="Arial" w:cs="Arial"/>
          <w:sz w:val="25"/>
          <w:szCs w:val="25"/>
        </w:rPr>
        <w:t>ste órgano será el encargado de evaluar si e</w:t>
      </w:r>
      <w:r w:rsidR="00B47335" w:rsidRPr="000350E3">
        <w:rPr>
          <w:rFonts w:ascii="Arial" w:hAnsi="Arial" w:cs="Arial"/>
          <w:sz w:val="25"/>
          <w:szCs w:val="25"/>
        </w:rPr>
        <w:t>l a</w:t>
      </w:r>
      <w:r w:rsidR="009968F8" w:rsidRPr="000350E3">
        <w:rPr>
          <w:rFonts w:ascii="Arial" w:hAnsi="Arial" w:cs="Arial"/>
          <w:sz w:val="25"/>
          <w:szCs w:val="25"/>
        </w:rPr>
        <w:t>sociado</w:t>
      </w:r>
      <w:r w:rsidR="00B47335" w:rsidRPr="000350E3">
        <w:rPr>
          <w:rFonts w:ascii="Arial" w:hAnsi="Arial" w:cs="Arial"/>
          <w:sz w:val="25"/>
          <w:szCs w:val="25"/>
        </w:rPr>
        <w:t xml:space="preserve">, en su condición de consumidor, </w:t>
      </w:r>
      <w:r>
        <w:rPr>
          <w:rFonts w:ascii="Arial" w:hAnsi="Arial" w:cs="Arial"/>
          <w:sz w:val="25"/>
          <w:szCs w:val="25"/>
        </w:rPr>
        <w:t xml:space="preserve">se respetaron su </w:t>
      </w:r>
      <w:r w:rsidR="00B47335" w:rsidRPr="000350E3">
        <w:rPr>
          <w:rFonts w:ascii="Arial" w:hAnsi="Arial" w:cs="Arial"/>
          <w:sz w:val="25"/>
          <w:szCs w:val="25"/>
        </w:rPr>
        <w:t xml:space="preserve">derecho a que el servicio contratado sea idóneo, </w:t>
      </w:r>
      <w:r w:rsidR="00D018C6">
        <w:rPr>
          <w:rFonts w:ascii="Arial" w:hAnsi="Arial" w:cs="Arial"/>
          <w:sz w:val="25"/>
          <w:szCs w:val="25"/>
        </w:rPr>
        <w:t>si la</w:t>
      </w:r>
      <w:r w:rsidR="00B47335" w:rsidRPr="000350E3">
        <w:rPr>
          <w:rFonts w:ascii="Arial" w:hAnsi="Arial" w:cs="Arial"/>
          <w:sz w:val="25"/>
          <w:szCs w:val="25"/>
        </w:rPr>
        <w:t xml:space="preserve"> información </w:t>
      </w:r>
      <w:r w:rsidR="00D018C6">
        <w:rPr>
          <w:rFonts w:ascii="Arial" w:hAnsi="Arial" w:cs="Arial"/>
          <w:sz w:val="25"/>
          <w:szCs w:val="25"/>
        </w:rPr>
        <w:t xml:space="preserve">fue </w:t>
      </w:r>
      <w:r w:rsidR="00B47335" w:rsidRPr="000350E3">
        <w:rPr>
          <w:rFonts w:ascii="Arial" w:hAnsi="Arial" w:cs="Arial"/>
          <w:sz w:val="25"/>
          <w:szCs w:val="25"/>
        </w:rPr>
        <w:t>veraz, suficiente y oportuna sobre las características del producto, y a no ser sometido a cláusulas abusivas en el contrato de adhesión que suscribe.</w:t>
      </w:r>
    </w:p>
    <w:p w14:paraId="00347CA7" w14:textId="77777777" w:rsidR="000350E3" w:rsidRPr="000350E3" w:rsidRDefault="000350E3" w:rsidP="000350E3">
      <w:pPr>
        <w:spacing w:line="276" w:lineRule="auto"/>
        <w:jc w:val="both"/>
        <w:rPr>
          <w:rFonts w:ascii="Arial" w:hAnsi="Arial" w:cs="Arial"/>
          <w:sz w:val="25"/>
          <w:szCs w:val="25"/>
        </w:rPr>
      </w:pPr>
    </w:p>
    <w:p w14:paraId="080A8DBC" w14:textId="77777777" w:rsidR="007349A5" w:rsidRPr="000350E3" w:rsidRDefault="00B47335" w:rsidP="000350E3">
      <w:pPr>
        <w:spacing w:line="276" w:lineRule="auto"/>
        <w:jc w:val="both"/>
        <w:rPr>
          <w:rFonts w:ascii="Arial" w:hAnsi="Arial" w:cs="Arial"/>
          <w:sz w:val="25"/>
          <w:szCs w:val="25"/>
        </w:rPr>
      </w:pPr>
      <w:r w:rsidRPr="000350E3">
        <w:rPr>
          <w:rFonts w:ascii="Arial" w:hAnsi="Arial" w:cs="Arial"/>
          <w:sz w:val="25"/>
          <w:szCs w:val="25"/>
        </w:rPr>
        <w:t>Las infracciones más frecuentes en este sector se vinculan precisamente con el deber de información: el proveedor no explica adecuadamente al futuro a</w:t>
      </w:r>
      <w:r w:rsidR="004917B1" w:rsidRPr="000350E3">
        <w:rPr>
          <w:rFonts w:ascii="Arial" w:hAnsi="Arial" w:cs="Arial"/>
          <w:sz w:val="25"/>
          <w:szCs w:val="25"/>
        </w:rPr>
        <w:t>sociado</w:t>
      </w:r>
      <w:r w:rsidRPr="000350E3">
        <w:rPr>
          <w:rFonts w:ascii="Arial" w:hAnsi="Arial" w:cs="Arial"/>
          <w:sz w:val="25"/>
          <w:szCs w:val="25"/>
        </w:rPr>
        <w:t xml:space="preserve"> que el fondo colectivo no es un crédito tradicional, que la entrega del bien no tiene fecha garantizada y que la adjudicación depende de mecanismos aleatorios o competitivos.</w:t>
      </w:r>
    </w:p>
    <w:p w14:paraId="7C66BF28" w14:textId="77777777" w:rsidR="000350E3" w:rsidRPr="000350E3" w:rsidRDefault="000350E3" w:rsidP="000350E3">
      <w:pPr>
        <w:spacing w:line="276" w:lineRule="auto"/>
        <w:jc w:val="both"/>
        <w:rPr>
          <w:rFonts w:ascii="Arial" w:hAnsi="Arial" w:cs="Arial"/>
          <w:sz w:val="25"/>
          <w:szCs w:val="25"/>
        </w:rPr>
      </w:pPr>
    </w:p>
    <w:p w14:paraId="00A4A6BF" w14:textId="7499E8C7" w:rsidR="008E47C5" w:rsidRPr="000350E3" w:rsidRDefault="00B47335" w:rsidP="000350E3">
      <w:pPr>
        <w:spacing w:line="276" w:lineRule="auto"/>
        <w:jc w:val="both"/>
        <w:rPr>
          <w:rFonts w:ascii="Arial" w:hAnsi="Arial" w:cs="Arial"/>
          <w:sz w:val="25"/>
          <w:szCs w:val="25"/>
        </w:rPr>
      </w:pPr>
      <w:r w:rsidRPr="000350E3">
        <w:rPr>
          <w:rFonts w:ascii="Arial" w:hAnsi="Arial" w:cs="Arial"/>
          <w:sz w:val="25"/>
          <w:szCs w:val="25"/>
        </w:rPr>
        <w:t>Esta omisión o deficiencia informativa, que está en la raíz de la mayoría de los conflictos, constituye una infracción al artículo 2° del Código de Protección y Defensa del Consumidor, que consagra el derecho a la información como uno de los pilares de la relación de consumo.</w:t>
      </w:r>
    </w:p>
    <w:p w14:paraId="4B893A02" w14:textId="77777777" w:rsidR="000350E3" w:rsidRPr="000350E3" w:rsidRDefault="000350E3" w:rsidP="000350E3">
      <w:pPr>
        <w:spacing w:line="276" w:lineRule="auto"/>
        <w:jc w:val="both"/>
        <w:rPr>
          <w:rFonts w:ascii="Arial" w:hAnsi="Arial" w:cs="Arial"/>
          <w:sz w:val="25"/>
          <w:szCs w:val="25"/>
        </w:rPr>
      </w:pPr>
    </w:p>
    <w:p w14:paraId="479D9998" w14:textId="77777777" w:rsidR="008E47C5" w:rsidRPr="000350E3" w:rsidRDefault="00B47335" w:rsidP="000350E3">
      <w:pPr>
        <w:spacing w:line="276" w:lineRule="auto"/>
        <w:jc w:val="both"/>
        <w:rPr>
          <w:rFonts w:ascii="Arial" w:hAnsi="Arial" w:cs="Arial"/>
          <w:sz w:val="25"/>
          <w:szCs w:val="25"/>
        </w:rPr>
      </w:pPr>
      <w:r w:rsidRPr="000350E3">
        <w:rPr>
          <w:rFonts w:ascii="Arial" w:hAnsi="Arial" w:cs="Arial"/>
          <w:sz w:val="25"/>
          <w:szCs w:val="25"/>
        </w:rPr>
        <w:lastRenderedPageBreak/>
        <w:t>La vía ante el INDECOPI ofrece ventajas concretas para el consumidor: es gratuita, relativamente célere, y permite obtener medidas correctivas y, en ciertos casos, ordenar la devolución de los montos pagados. Su principal limitación radica en que no permite una reparación integral del daño patrimonial, para lo cual el afectado deberá acudir a la vía civil de manera complementaria. Sin embargo, en términos de adecuación jurídica, es la sede que mejor corresponde a la naturaleza del conflicto.</w:t>
      </w:r>
    </w:p>
    <w:p w14:paraId="48E6EFC9" w14:textId="77777777" w:rsidR="000350E3" w:rsidRPr="000350E3" w:rsidRDefault="000350E3" w:rsidP="000350E3">
      <w:pPr>
        <w:spacing w:line="276" w:lineRule="auto"/>
        <w:jc w:val="both"/>
        <w:rPr>
          <w:rFonts w:ascii="Arial" w:hAnsi="Arial" w:cs="Arial"/>
          <w:sz w:val="25"/>
          <w:szCs w:val="25"/>
        </w:rPr>
      </w:pPr>
    </w:p>
    <w:p w14:paraId="041A3C82" w14:textId="77777777" w:rsidR="008E47C5" w:rsidRPr="00D018C6" w:rsidRDefault="00B47335" w:rsidP="000350E3">
      <w:pPr>
        <w:spacing w:line="276" w:lineRule="auto"/>
        <w:jc w:val="both"/>
        <w:rPr>
          <w:rFonts w:ascii="Arial" w:hAnsi="Arial" w:cs="Arial"/>
          <w:b/>
          <w:bCs/>
          <w:sz w:val="25"/>
          <w:szCs w:val="25"/>
        </w:rPr>
      </w:pPr>
      <w:r w:rsidRPr="00D018C6">
        <w:rPr>
          <w:rFonts w:ascii="Arial" w:hAnsi="Arial" w:cs="Arial"/>
          <w:b/>
          <w:bCs/>
          <w:sz w:val="25"/>
          <w:szCs w:val="25"/>
        </w:rPr>
        <w:t>VI. ANÁLISIS COMPARATIVO: CONCURRENCIA Y LÍMITES DE LAS TRES VÍAS</w:t>
      </w:r>
    </w:p>
    <w:p w14:paraId="2EF47948" w14:textId="77777777" w:rsidR="00D018C6" w:rsidRPr="000350E3" w:rsidRDefault="00D018C6" w:rsidP="000350E3">
      <w:pPr>
        <w:spacing w:line="276" w:lineRule="auto"/>
        <w:jc w:val="both"/>
        <w:rPr>
          <w:rFonts w:ascii="Arial" w:hAnsi="Arial" w:cs="Arial"/>
          <w:sz w:val="25"/>
          <w:szCs w:val="25"/>
        </w:rPr>
      </w:pPr>
    </w:p>
    <w:p w14:paraId="7D8FEF76" w14:textId="11735D5F" w:rsidR="008E47C5" w:rsidRPr="000350E3" w:rsidRDefault="00B47335" w:rsidP="000350E3">
      <w:pPr>
        <w:spacing w:line="276" w:lineRule="auto"/>
        <w:jc w:val="both"/>
        <w:rPr>
          <w:rFonts w:ascii="Arial" w:hAnsi="Arial" w:cs="Arial"/>
          <w:sz w:val="25"/>
          <w:szCs w:val="25"/>
        </w:rPr>
      </w:pPr>
      <w:r w:rsidRPr="000350E3">
        <w:rPr>
          <w:rFonts w:ascii="Arial" w:hAnsi="Arial" w:cs="Arial"/>
          <w:sz w:val="25"/>
          <w:szCs w:val="25"/>
        </w:rPr>
        <w:t xml:space="preserve">Desde una perspectiva formal, las tres vías analizadas penal, civil y administrativa pueden activarse de manera simultánea sin que opere una prohibición procesal absoluta, en la medida en que cada una protege bienes jurídicos distintos y se tramita ante órganos diferentes. La triple identidad exigida por el principio </w:t>
      </w:r>
      <w:r w:rsidRPr="00D018C6">
        <w:rPr>
          <w:rFonts w:ascii="Arial" w:hAnsi="Arial" w:cs="Arial"/>
          <w:i/>
          <w:iCs/>
          <w:sz w:val="25"/>
          <w:szCs w:val="25"/>
        </w:rPr>
        <w:t xml:space="preserve">non bis in </w:t>
      </w:r>
      <w:proofErr w:type="spellStart"/>
      <w:r w:rsidRPr="00D018C6">
        <w:rPr>
          <w:rFonts w:ascii="Arial" w:hAnsi="Arial" w:cs="Arial"/>
          <w:i/>
          <w:iCs/>
          <w:sz w:val="25"/>
          <w:szCs w:val="25"/>
        </w:rPr>
        <w:t>idem</w:t>
      </w:r>
      <w:proofErr w:type="spellEnd"/>
      <w:r w:rsidRPr="000350E3">
        <w:rPr>
          <w:rFonts w:ascii="Arial" w:hAnsi="Arial" w:cs="Arial"/>
          <w:sz w:val="25"/>
          <w:szCs w:val="25"/>
        </w:rPr>
        <w:t xml:space="preserve"> (identidad de sujeto, hecho y fundamento) no se cumple plenamente cuando se compara, por ejemplo, la acción penal por estafa con el procedimiento sancionador ante el INDECOPI, pues el fundamento de cada vía es diferente.</w:t>
      </w:r>
    </w:p>
    <w:p w14:paraId="66D76EAC" w14:textId="77777777" w:rsidR="000350E3" w:rsidRPr="000350E3" w:rsidRDefault="000350E3" w:rsidP="000350E3">
      <w:pPr>
        <w:spacing w:line="276" w:lineRule="auto"/>
        <w:jc w:val="both"/>
        <w:rPr>
          <w:rFonts w:ascii="Arial" w:hAnsi="Arial" w:cs="Arial"/>
          <w:sz w:val="25"/>
          <w:szCs w:val="25"/>
        </w:rPr>
      </w:pPr>
    </w:p>
    <w:p w14:paraId="15E27077" w14:textId="68CA8FDA" w:rsidR="008E47C5" w:rsidRPr="000350E3" w:rsidRDefault="00B47335" w:rsidP="000350E3">
      <w:pPr>
        <w:spacing w:line="276" w:lineRule="auto"/>
        <w:jc w:val="both"/>
        <w:rPr>
          <w:rFonts w:ascii="Arial" w:hAnsi="Arial" w:cs="Arial"/>
          <w:sz w:val="25"/>
          <w:szCs w:val="25"/>
        </w:rPr>
      </w:pPr>
      <w:r w:rsidRPr="000350E3">
        <w:rPr>
          <w:rFonts w:ascii="Arial" w:hAnsi="Arial" w:cs="Arial"/>
          <w:sz w:val="25"/>
          <w:szCs w:val="25"/>
        </w:rPr>
        <w:t xml:space="preserve">Sin embargo, que las tres vías sean formalmente compatibles no significa que todas sean jurídicamente procedentes en cada caso concreto. La procedencia de la vía penal exige, como se ha señalado, la acreditación del dolo específico preexistente al contrato. En ausencia de dicho elemento, la denuncia penal no solo es improcedente, sino que su admisión a trámite constituye un uso indebido del aparato punitivo del Estado. </w:t>
      </w:r>
      <w:r w:rsidR="00D018C6">
        <w:rPr>
          <w:rFonts w:ascii="Arial" w:hAnsi="Arial" w:cs="Arial"/>
          <w:sz w:val="25"/>
          <w:szCs w:val="25"/>
        </w:rPr>
        <w:t>Ahora l</w:t>
      </w:r>
      <w:r w:rsidRPr="000350E3">
        <w:rPr>
          <w:rFonts w:ascii="Arial" w:hAnsi="Arial" w:cs="Arial"/>
          <w:sz w:val="25"/>
          <w:szCs w:val="25"/>
        </w:rPr>
        <w:t xml:space="preserve">a vía civil y la vía administrativa, </w:t>
      </w:r>
      <w:r w:rsidR="00D018C6">
        <w:rPr>
          <w:rFonts w:ascii="Arial" w:hAnsi="Arial" w:cs="Arial"/>
          <w:sz w:val="25"/>
          <w:szCs w:val="25"/>
        </w:rPr>
        <w:t xml:space="preserve">por la naturaleza </w:t>
      </w:r>
      <w:r w:rsidRPr="000350E3">
        <w:rPr>
          <w:rFonts w:ascii="Arial" w:hAnsi="Arial" w:cs="Arial"/>
          <w:sz w:val="25"/>
          <w:szCs w:val="25"/>
        </w:rPr>
        <w:t xml:space="preserve">resulta procedentes en la mayoría de los casos </w:t>
      </w:r>
      <w:r w:rsidR="00D018C6">
        <w:rPr>
          <w:rFonts w:ascii="Arial" w:hAnsi="Arial" w:cs="Arial"/>
          <w:sz w:val="25"/>
          <w:szCs w:val="25"/>
        </w:rPr>
        <w:t>si es que se estuviera ante un</w:t>
      </w:r>
      <w:r w:rsidRPr="000350E3">
        <w:rPr>
          <w:rFonts w:ascii="Arial" w:hAnsi="Arial" w:cs="Arial"/>
          <w:sz w:val="25"/>
          <w:szCs w:val="25"/>
        </w:rPr>
        <w:t xml:space="preserve"> incumplimiento contractual en fondos colectivos</w:t>
      </w:r>
      <w:r w:rsidR="006B4E06" w:rsidRPr="000350E3">
        <w:rPr>
          <w:rFonts w:ascii="Arial" w:hAnsi="Arial" w:cs="Arial"/>
          <w:sz w:val="25"/>
          <w:szCs w:val="25"/>
        </w:rPr>
        <w:t>.</w:t>
      </w:r>
    </w:p>
    <w:p w14:paraId="1DCFCB68" w14:textId="77777777" w:rsidR="000350E3" w:rsidRPr="000350E3" w:rsidRDefault="000350E3" w:rsidP="000350E3">
      <w:pPr>
        <w:spacing w:line="276" w:lineRule="auto"/>
        <w:jc w:val="both"/>
        <w:rPr>
          <w:rFonts w:ascii="Arial" w:hAnsi="Arial" w:cs="Arial"/>
          <w:sz w:val="25"/>
          <w:szCs w:val="25"/>
        </w:rPr>
      </w:pPr>
    </w:p>
    <w:p w14:paraId="697EC2B3" w14:textId="77777777" w:rsidR="008E47C5" w:rsidRPr="00D018C6" w:rsidRDefault="00B47335" w:rsidP="000350E3">
      <w:pPr>
        <w:spacing w:line="276" w:lineRule="auto"/>
        <w:jc w:val="both"/>
        <w:rPr>
          <w:rFonts w:ascii="Arial" w:hAnsi="Arial" w:cs="Arial"/>
          <w:b/>
          <w:bCs/>
          <w:sz w:val="25"/>
          <w:szCs w:val="25"/>
        </w:rPr>
      </w:pPr>
      <w:r w:rsidRPr="00D018C6">
        <w:rPr>
          <w:rFonts w:ascii="Arial" w:hAnsi="Arial" w:cs="Arial"/>
          <w:b/>
          <w:bCs/>
          <w:sz w:val="25"/>
          <w:szCs w:val="25"/>
        </w:rPr>
        <w:t>VII. CONCLUSIONES Y RECOMENDACIONES</w:t>
      </w:r>
    </w:p>
    <w:p w14:paraId="6DB717F5" w14:textId="77777777" w:rsidR="000350E3" w:rsidRPr="00D018C6" w:rsidRDefault="000350E3" w:rsidP="000350E3">
      <w:pPr>
        <w:spacing w:line="276" w:lineRule="auto"/>
        <w:jc w:val="both"/>
        <w:rPr>
          <w:rFonts w:ascii="Arial" w:hAnsi="Arial" w:cs="Arial"/>
          <w:b/>
          <w:bCs/>
          <w:sz w:val="25"/>
          <w:szCs w:val="25"/>
        </w:rPr>
      </w:pPr>
    </w:p>
    <w:p w14:paraId="063009AF" w14:textId="694BBD1B" w:rsidR="008E47C5" w:rsidRPr="000350E3" w:rsidRDefault="00B47335" w:rsidP="000350E3">
      <w:pPr>
        <w:spacing w:line="276" w:lineRule="auto"/>
        <w:jc w:val="both"/>
        <w:rPr>
          <w:rFonts w:ascii="Arial" w:hAnsi="Arial" w:cs="Arial"/>
          <w:sz w:val="25"/>
          <w:szCs w:val="25"/>
        </w:rPr>
      </w:pPr>
      <w:r w:rsidRPr="000350E3">
        <w:rPr>
          <w:rFonts w:ascii="Arial" w:hAnsi="Arial" w:cs="Arial"/>
          <w:sz w:val="25"/>
          <w:szCs w:val="25"/>
        </w:rPr>
        <w:t>1.</w:t>
      </w:r>
      <w:r w:rsidRPr="000350E3">
        <w:rPr>
          <w:rFonts w:ascii="Arial" w:hAnsi="Arial" w:cs="Arial"/>
          <w:sz w:val="25"/>
          <w:szCs w:val="25"/>
        </w:rPr>
        <w:tab/>
        <w:t xml:space="preserve">El contrato </w:t>
      </w:r>
      <w:r w:rsidR="00D018C6">
        <w:rPr>
          <w:rFonts w:ascii="Arial" w:hAnsi="Arial" w:cs="Arial"/>
          <w:sz w:val="25"/>
          <w:szCs w:val="25"/>
        </w:rPr>
        <w:t xml:space="preserve">que se celebra en el sistema administrativo de </w:t>
      </w:r>
      <w:r w:rsidRPr="000350E3">
        <w:rPr>
          <w:rFonts w:ascii="Arial" w:hAnsi="Arial" w:cs="Arial"/>
          <w:sz w:val="25"/>
          <w:szCs w:val="25"/>
        </w:rPr>
        <w:t>fondo</w:t>
      </w:r>
      <w:r w:rsidR="00D018C6">
        <w:rPr>
          <w:rFonts w:ascii="Arial" w:hAnsi="Arial" w:cs="Arial"/>
          <w:sz w:val="25"/>
          <w:szCs w:val="25"/>
        </w:rPr>
        <w:t>s</w:t>
      </w:r>
      <w:r w:rsidRPr="000350E3">
        <w:rPr>
          <w:rFonts w:ascii="Arial" w:hAnsi="Arial" w:cs="Arial"/>
          <w:sz w:val="25"/>
          <w:szCs w:val="25"/>
        </w:rPr>
        <w:t xml:space="preserve"> colectivo</w:t>
      </w:r>
      <w:r w:rsidR="00D018C6">
        <w:rPr>
          <w:rFonts w:ascii="Arial" w:hAnsi="Arial" w:cs="Arial"/>
          <w:sz w:val="25"/>
          <w:szCs w:val="25"/>
        </w:rPr>
        <w:t xml:space="preserve">s, podrían conllevar a </w:t>
      </w:r>
      <w:r w:rsidRPr="000350E3">
        <w:rPr>
          <w:rFonts w:ascii="Arial" w:hAnsi="Arial" w:cs="Arial"/>
          <w:sz w:val="25"/>
          <w:szCs w:val="25"/>
        </w:rPr>
        <w:t xml:space="preserve">conflictos </w:t>
      </w:r>
      <w:r w:rsidR="00D018C6">
        <w:rPr>
          <w:rFonts w:ascii="Arial" w:hAnsi="Arial" w:cs="Arial"/>
          <w:sz w:val="25"/>
          <w:szCs w:val="25"/>
        </w:rPr>
        <w:t xml:space="preserve">por </w:t>
      </w:r>
      <w:r w:rsidRPr="000350E3">
        <w:rPr>
          <w:rFonts w:ascii="Arial" w:hAnsi="Arial" w:cs="Arial"/>
          <w:sz w:val="25"/>
          <w:szCs w:val="25"/>
        </w:rPr>
        <w:t>su ejecución o incumplimiento</w:t>
      </w:r>
      <w:r w:rsidR="00D018C6">
        <w:rPr>
          <w:rFonts w:ascii="Arial" w:hAnsi="Arial" w:cs="Arial"/>
          <w:sz w:val="25"/>
          <w:szCs w:val="25"/>
        </w:rPr>
        <w:t xml:space="preserve">. Que deberán de resolverse en el </w:t>
      </w:r>
      <w:r w:rsidRPr="000350E3">
        <w:rPr>
          <w:rFonts w:ascii="Arial" w:hAnsi="Arial" w:cs="Arial"/>
          <w:sz w:val="25"/>
          <w:szCs w:val="25"/>
        </w:rPr>
        <w:t>ámbito del Derecho del Consumidor y del Derecho Civil, y no al Derecho Penal.</w:t>
      </w:r>
    </w:p>
    <w:p w14:paraId="52CBBDE3" w14:textId="77777777" w:rsidR="000350E3" w:rsidRPr="000350E3" w:rsidRDefault="000350E3" w:rsidP="000350E3">
      <w:pPr>
        <w:spacing w:line="276" w:lineRule="auto"/>
        <w:jc w:val="both"/>
        <w:rPr>
          <w:rFonts w:ascii="Arial" w:hAnsi="Arial" w:cs="Arial"/>
          <w:sz w:val="25"/>
          <w:szCs w:val="25"/>
        </w:rPr>
      </w:pPr>
    </w:p>
    <w:p w14:paraId="47EDF7B5" w14:textId="5BBD9CA0" w:rsidR="008E47C5" w:rsidRPr="000350E3" w:rsidRDefault="00B47335" w:rsidP="000350E3">
      <w:pPr>
        <w:spacing w:line="276" w:lineRule="auto"/>
        <w:jc w:val="both"/>
        <w:rPr>
          <w:rFonts w:ascii="Arial" w:hAnsi="Arial" w:cs="Arial"/>
          <w:sz w:val="25"/>
          <w:szCs w:val="25"/>
        </w:rPr>
      </w:pPr>
      <w:r w:rsidRPr="000350E3">
        <w:rPr>
          <w:rFonts w:ascii="Arial" w:hAnsi="Arial" w:cs="Arial"/>
          <w:sz w:val="25"/>
          <w:szCs w:val="25"/>
        </w:rPr>
        <w:t>2.</w:t>
      </w:r>
      <w:r w:rsidRPr="000350E3">
        <w:rPr>
          <w:rFonts w:ascii="Arial" w:hAnsi="Arial" w:cs="Arial"/>
          <w:sz w:val="25"/>
          <w:szCs w:val="25"/>
        </w:rPr>
        <w:tab/>
      </w:r>
      <w:r w:rsidR="00D018C6">
        <w:rPr>
          <w:rFonts w:ascii="Arial" w:hAnsi="Arial" w:cs="Arial"/>
          <w:sz w:val="25"/>
          <w:szCs w:val="25"/>
        </w:rPr>
        <w:t>Para que se configure el delito de estafa, no solo ha de acreditarse e</w:t>
      </w:r>
      <w:r w:rsidRPr="000350E3">
        <w:rPr>
          <w:rFonts w:ascii="Arial" w:hAnsi="Arial" w:cs="Arial"/>
          <w:sz w:val="25"/>
          <w:szCs w:val="25"/>
        </w:rPr>
        <w:t xml:space="preserve">l incumplimiento de las obligaciones de </w:t>
      </w:r>
      <w:r w:rsidR="00D018C6">
        <w:rPr>
          <w:rFonts w:ascii="Arial" w:hAnsi="Arial" w:cs="Arial"/>
          <w:sz w:val="25"/>
          <w:szCs w:val="25"/>
        </w:rPr>
        <w:t>la</w:t>
      </w:r>
      <w:r w:rsidRPr="000350E3">
        <w:rPr>
          <w:rFonts w:ascii="Arial" w:hAnsi="Arial" w:cs="Arial"/>
          <w:sz w:val="25"/>
          <w:szCs w:val="25"/>
        </w:rPr>
        <w:t xml:space="preserve"> empresa de fondo colectivo</w:t>
      </w:r>
      <w:r w:rsidR="00D018C6">
        <w:rPr>
          <w:rFonts w:ascii="Arial" w:hAnsi="Arial" w:cs="Arial"/>
          <w:sz w:val="25"/>
          <w:szCs w:val="25"/>
        </w:rPr>
        <w:t xml:space="preserve">; sino </w:t>
      </w:r>
      <w:r w:rsidRPr="000350E3">
        <w:rPr>
          <w:rFonts w:ascii="Arial" w:hAnsi="Arial" w:cs="Arial"/>
          <w:sz w:val="25"/>
          <w:szCs w:val="25"/>
        </w:rPr>
        <w:t xml:space="preserve">se requiere la acreditación del dolo preexistente al contrato, es decir, la </w:t>
      </w:r>
      <w:r w:rsidRPr="000350E3">
        <w:rPr>
          <w:rFonts w:ascii="Arial" w:hAnsi="Arial" w:cs="Arial"/>
          <w:sz w:val="25"/>
          <w:szCs w:val="25"/>
        </w:rPr>
        <w:lastRenderedPageBreak/>
        <w:t xml:space="preserve">intención defraudatoria </w:t>
      </w:r>
      <w:r w:rsidR="00D018C6">
        <w:rPr>
          <w:rFonts w:ascii="Arial" w:hAnsi="Arial" w:cs="Arial"/>
          <w:sz w:val="25"/>
          <w:szCs w:val="25"/>
        </w:rPr>
        <w:t xml:space="preserve">y engaño </w:t>
      </w:r>
      <w:r w:rsidRPr="000350E3">
        <w:rPr>
          <w:rFonts w:ascii="Arial" w:hAnsi="Arial" w:cs="Arial"/>
          <w:sz w:val="25"/>
          <w:szCs w:val="25"/>
        </w:rPr>
        <w:t>desde el momento de su celebración, elemento que en la mayoría de estos casos está ausente.</w:t>
      </w:r>
    </w:p>
    <w:p w14:paraId="697810ED" w14:textId="77777777" w:rsidR="000350E3" w:rsidRPr="000350E3" w:rsidRDefault="000350E3" w:rsidP="000350E3">
      <w:pPr>
        <w:spacing w:line="276" w:lineRule="auto"/>
        <w:jc w:val="both"/>
        <w:rPr>
          <w:rFonts w:ascii="Arial" w:hAnsi="Arial" w:cs="Arial"/>
          <w:sz w:val="25"/>
          <w:szCs w:val="25"/>
        </w:rPr>
      </w:pPr>
    </w:p>
    <w:p w14:paraId="0F44AA1B" w14:textId="3B755E11" w:rsidR="008E47C5" w:rsidRPr="000350E3" w:rsidRDefault="00D018C6" w:rsidP="000350E3">
      <w:pPr>
        <w:spacing w:line="276" w:lineRule="auto"/>
        <w:jc w:val="both"/>
        <w:rPr>
          <w:rFonts w:ascii="Arial" w:hAnsi="Arial" w:cs="Arial"/>
          <w:sz w:val="25"/>
          <w:szCs w:val="25"/>
        </w:rPr>
      </w:pPr>
      <w:r>
        <w:rPr>
          <w:rFonts w:ascii="Arial" w:hAnsi="Arial" w:cs="Arial"/>
          <w:sz w:val="25"/>
          <w:szCs w:val="25"/>
        </w:rPr>
        <w:t xml:space="preserve">3. </w:t>
      </w:r>
      <w:r w:rsidR="00B47335" w:rsidRPr="000350E3">
        <w:rPr>
          <w:rFonts w:ascii="Arial" w:hAnsi="Arial" w:cs="Arial"/>
          <w:sz w:val="25"/>
          <w:szCs w:val="25"/>
        </w:rPr>
        <w:t xml:space="preserve">INDECOPI, </w:t>
      </w:r>
      <w:r>
        <w:rPr>
          <w:rFonts w:ascii="Arial" w:hAnsi="Arial" w:cs="Arial"/>
          <w:sz w:val="25"/>
          <w:szCs w:val="25"/>
        </w:rPr>
        <w:t>es l</w:t>
      </w:r>
      <w:r w:rsidRPr="000350E3">
        <w:rPr>
          <w:rFonts w:ascii="Arial" w:hAnsi="Arial" w:cs="Arial"/>
          <w:sz w:val="25"/>
          <w:szCs w:val="25"/>
        </w:rPr>
        <w:t xml:space="preserve">a vía administrativa </w:t>
      </w:r>
      <w:r w:rsidR="00B47335" w:rsidRPr="000350E3">
        <w:rPr>
          <w:rFonts w:ascii="Arial" w:hAnsi="Arial" w:cs="Arial"/>
          <w:sz w:val="25"/>
          <w:szCs w:val="25"/>
        </w:rPr>
        <w:t xml:space="preserve">fundada en el Código de Protección y Defensa del Consumidor (Ley </w:t>
      </w:r>
      <w:proofErr w:type="spellStart"/>
      <w:r w:rsidR="00B47335" w:rsidRPr="000350E3">
        <w:rPr>
          <w:rFonts w:ascii="Arial" w:hAnsi="Arial" w:cs="Arial"/>
          <w:sz w:val="25"/>
          <w:szCs w:val="25"/>
        </w:rPr>
        <w:t>N.°</w:t>
      </w:r>
      <w:proofErr w:type="spellEnd"/>
      <w:r w:rsidR="00B47335" w:rsidRPr="000350E3">
        <w:rPr>
          <w:rFonts w:ascii="Arial" w:hAnsi="Arial" w:cs="Arial"/>
          <w:sz w:val="25"/>
          <w:szCs w:val="25"/>
        </w:rPr>
        <w:t xml:space="preserve"> 29571), es la sede naturalmente idónea para conocer y resolver estos conflictos, sin perjuicio de que el adherente pueda acudir complementariamente a la vía civil para obtener una reparación integral del daño.</w:t>
      </w:r>
    </w:p>
    <w:p w14:paraId="306B27D1" w14:textId="77777777" w:rsidR="000350E3" w:rsidRPr="000350E3" w:rsidRDefault="000350E3" w:rsidP="000350E3">
      <w:pPr>
        <w:spacing w:line="276" w:lineRule="auto"/>
        <w:jc w:val="both"/>
        <w:rPr>
          <w:rFonts w:ascii="Arial" w:hAnsi="Arial" w:cs="Arial"/>
          <w:sz w:val="25"/>
          <w:szCs w:val="25"/>
        </w:rPr>
      </w:pPr>
    </w:p>
    <w:p w14:paraId="583E8EFF" w14:textId="4E3E2432" w:rsidR="008E47C5" w:rsidRPr="000350E3" w:rsidRDefault="00521CF4" w:rsidP="000350E3">
      <w:pPr>
        <w:spacing w:line="276" w:lineRule="auto"/>
        <w:jc w:val="both"/>
        <w:rPr>
          <w:rFonts w:ascii="Arial" w:hAnsi="Arial" w:cs="Arial"/>
          <w:sz w:val="25"/>
          <w:szCs w:val="25"/>
        </w:rPr>
      </w:pPr>
      <w:r>
        <w:rPr>
          <w:rFonts w:ascii="Arial" w:hAnsi="Arial" w:cs="Arial"/>
          <w:sz w:val="25"/>
          <w:szCs w:val="25"/>
        </w:rPr>
        <w:t>4. Corresponde ahora a</w:t>
      </w:r>
      <w:r w:rsidR="00B47335" w:rsidRPr="000350E3">
        <w:rPr>
          <w:rFonts w:ascii="Arial" w:hAnsi="Arial" w:cs="Arial"/>
          <w:sz w:val="25"/>
          <w:szCs w:val="25"/>
        </w:rPr>
        <w:t xml:space="preserve">l Ministerio Público ejercer un control de admisibilidad más riguroso sobre las denuncias por estafa vinculadas a contratos de fondos colectivos, verificando la concurrencia de los elementos del tipo penal antes de admitirlas a trámite, conforme al principio de </w:t>
      </w:r>
      <w:r w:rsidR="00B47335" w:rsidRPr="00521CF4">
        <w:rPr>
          <w:rFonts w:ascii="Arial" w:hAnsi="Arial" w:cs="Arial"/>
          <w:i/>
          <w:iCs/>
          <w:sz w:val="25"/>
          <w:szCs w:val="25"/>
        </w:rPr>
        <w:t>última ratio</w:t>
      </w:r>
      <w:r w:rsidR="00B47335" w:rsidRPr="000350E3">
        <w:rPr>
          <w:rFonts w:ascii="Arial" w:hAnsi="Arial" w:cs="Arial"/>
          <w:sz w:val="25"/>
          <w:szCs w:val="25"/>
        </w:rPr>
        <w:t xml:space="preserve"> del Derecho Penal.</w:t>
      </w:r>
    </w:p>
    <w:p w14:paraId="3CDE646B" w14:textId="77777777" w:rsidR="000350E3" w:rsidRPr="000350E3" w:rsidRDefault="000350E3" w:rsidP="000350E3">
      <w:pPr>
        <w:spacing w:line="276" w:lineRule="auto"/>
        <w:jc w:val="both"/>
        <w:rPr>
          <w:rFonts w:ascii="Arial" w:hAnsi="Arial" w:cs="Arial"/>
          <w:sz w:val="25"/>
          <w:szCs w:val="25"/>
        </w:rPr>
      </w:pPr>
    </w:p>
    <w:p w14:paraId="7B27A62E" w14:textId="3277FF72" w:rsidR="008E47C5" w:rsidRPr="000350E3" w:rsidRDefault="00521CF4" w:rsidP="000350E3">
      <w:pPr>
        <w:spacing w:line="276" w:lineRule="auto"/>
        <w:jc w:val="both"/>
        <w:rPr>
          <w:rFonts w:ascii="Arial" w:hAnsi="Arial" w:cs="Arial"/>
          <w:b/>
          <w:bCs/>
          <w:sz w:val="25"/>
          <w:szCs w:val="25"/>
        </w:rPr>
      </w:pPr>
      <w:r>
        <w:rPr>
          <w:rFonts w:ascii="Arial" w:hAnsi="Arial" w:cs="Arial"/>
          <w:b/>
          <w:bCs/>
          <w:sz w:val="25"/>
          <w:szCs w:val="25"/>
        </w:rPr>
        <w:t xml:space="preserve">VIII. </w:t>
      </w:r>
      <w:r w:rsidR="00B47335" w:rsidRPr="000350E3">
        <w:rPr>
          <w:rFonts w:ascii="Arial" w:hAnsi="Arial" w:cs="Arial"/>
          <w:b/>
          <w:bCs/>
          <w:sz w:val="25"/>
          <w:szCs w:val="25"/>
        </w:rPr>
        <w:t>REFERENCIAS NORMATIVAS Y BIBLIOGRÁFICAS</w:t>
      </w:r>
    </w:p>
    <w:p w14:paraId="5189597B" w14:textId="77777777" w:rsidR="000350E3" w:rsidRPr="000350E3" w:rsidRDefault="000350E3" w:rsidP="000350E3">
      <w:pPr>
        <w:spacing w:line="276" w:lineRule="auto"/>
        <w:jc w:val="both"/>
        <w:rPr>
          <w:rFonts w:ascii="Arial" w:hAnsi="Arial" w:cs="Arial"/>
          <w:b/>
          <w:bCs/>
          <w:sz w:val="25"/>
          <w:szCs w:val="25"/>
        </w:rPr>
      </w:pPr>
    </w:p>
    <w:p w14:paraId="3D747679" w14:textId="6A656EAB" w:rsidR="238BA234" w:rsidRPr="000350E3" w:rsidRDefault="238BA234" w:rsidP="000350E3">
      <w:pPr>
        <w:spacing w:line="276" w:lineRule="auto"/>
        <w:ind w:left="1134" w:hanging="1134"/>
        <w:jc w:val="both"/>
        <w:rPr>
          <w:rFonts w:ascii="Arial" w:hAnsi="Arial" w:cs="Arial"/>
          <w:sz w:val="25"/>
          <w:szCs w:val="25"/>
        </w:rPr>
      </w:pPr>
      <w:r w:rsidRPr="000350E3">
        <w:rPr>
          <w:rFonts w:ascii="Arial" w:hAnsi="Arial" w:cs="Arial"/>
          <w:sz w:val="25"/>
          <w:szCs w:val="25"/>
        </w:rPr>
        <w:t xml:space="preserve">Casación </w:t>
      </w:r>
      <w:proofErr w:type="spellStart"/>
      <w:r w:rsidRPr="000350E3">
        <w:rPr>
          <w:rFonts w:ascii="Arial" w:hAnsi="Arial" w:cs="Arial"/>
          <w:sz w:val="25"/>
          <w:szCs w:val="25"/>
        </w:rPr>
        <w:t>N°</w:t>
      </w:r>
      <w:proofErr w:type="spellEnd"/>
      <w:r w:rsidRPr="000350E3">
        <w:rPr>
          <w:rFonts w:ascii="Arial" w:hAnsi="Arial" w:cs="Arial"/>
          <w:sz w:val="25"/>
          <w:szCs w:val="25"/>
        </w:rPr>
        <w:t xml:space="preserve"> 421-2015/Arequipa</w:t>
      </w:r>
    </w:p>
    <w:p w14:paraId="3B1F1F22" w14:textId="77777777" w:rsidR="008E47C5" w:rsidRPr="000350E3" w:rsidRDefault="00B47335" w:rsidP="000350E3">
      <w:pPr>
        <w:spacing w:line="276" w:lineRule="auto"/>
        <w:ind w:left="1134" w:hanging="1134"/>
        <w:jc w:val="both"/>
        <w:rPr>
          <w:rFonts w:ascii="Arial" w:hAnsi="Arial" w:cs="Arial"/>
          <w:sz w:val="25"/>
          <w:szCs w:val="25"/>
        </w:rPr>
      </w:pPr>
      <w:r w:rsidRPr="000350E3">
        <w:rPr>
          <w:rFonts w:ascii="Arial" w:hAnsi="Arial" w:cs="Arial"/>
          <w:sz w:val="25"/>
          <w:szCs w:val="25"/>
        </w:rPr>
        <w:t xml:space="preserve">Código Penal peruano. Decreto Legislativo </w:t>
      </w:r>
      <w:proofErr w:type="spellStart"/>
      <w:r w:rsidRPr="000350E3">
        <w:rPr>
          <w:rFonts w:ascii="Arial" w:hAnsi="Arial" w:cs="Arial"/>
          <w:sz w:val="25"/>
          <w:szCs w:val="25"/>
        </w:rPr>
        <w:t>N.°</w:t>
      </w:r>
      <w:proofErr w:type="spellEnd"/>
      <w:r w:rsidRPr="000350E3">
        <w:rPr>
          <w:rFonts w:ascii="Arial" w:hAnsi="Arial" w:cs="Arial"/>
          <w:sz w:val="25"/>
          <w:szCs w:val="25"/>
        </w:rPr>
        <w:t xml:space="preserve"> 635. Artículo </w:t>
      </w:r>
      <w:proofErr w:type="gramStart"/>
      <w:r w:rsidRPr="000350E3">
        <w:rPr>
          <w:rFonts w:ascii="Arial" w:hAnsi="Arial" w:cs="Arial"/>
          <w:sz w:val="25"/>
          <w:szCs w:val="25"/>
        </w:rPr>
        <w:t>196.°</w:t>
      </w:r>
      <w:proofErr w:type="gramEnd"/>
      <w:r w:rsidRPr="000350E3">
        <w:rPr>
          <w:rFonts w:ascii="Arial" w:hAnsi="Arial" w:cs="Arial"/>
          <w:sz w:val="25"/>
          <w:szCs w:val="25"/>
        </w:rPr>
        <w:t xml:space="preserve"> (Estafa).</w:t>
      </w:r>
    </w:p>
    <w:p w14:paraId="33FA2EE6" w14:textId="77777777" w:rsidR="008E47C5" w:rsidRPr="000350E3" w:rsidRDefault="00B47335" w:rsidP="000350E3">
      <w:pPr>
        <w:spacing w:line="276" w:lineRule="auto"/>
        <w:ind w:left="1134" w:hanging="1134"/>
        <w:jc w:val="both"/>
        <w:rPr>
          <w:rFonts w:ascii="Arial" w:hAnsi="Arial" w:cs="Arial"/>
          <w:sz w:val="25"/>
          <w:szCs w:val="25"/>
        </w:rPr>
      </w:pPr>
      <w:r w:rsidRPr="000350E3">
        <w:rPr>
          <w:rFonts w:ascii="Arial" w:hAnsi="Arial" w:cs="Arial"/>
          <w:sz w:val="25"/>
          <w:szCs w:val="25"/>
        </w:rPr>
        <w:t xml:space="preserve">Código Civil peruano. Decreto Legislativo </w:t>
      </w:r>
      <w:proofErr w:type="spellStart"/>
      <w:r w:rsidRPr="000350E3">
        <w:rPr>
          <w:rFonts w:ascii="Arial" w:hAnsi="Arial" w:cs="Arial"/>
          <w:sz w:val="25"/>
          <w:szCs w:val="25"/>
        </w:rPr>
        <w:t>N.°</w:t>
      </w:r>
      <w:proofErr w:type="spellEnd"/>
      <w:r w:rsidRPr="000350E3">
        <w:rPr>
          <w:rFonts w:ascii="Arial" w:hAnsi="Arial" w:cs="Arial"/>
          <w:sz w:val="25"/>
          <w:szCs w:val="25"/>
        </w:rPr>
        <w:t xml:space="preserve"> 295. Artículos </w:t>
      </w:r>
      <w:proofErr w:type="gramStart"/>
      <w:r w:rsidRPr="000350E3">
        <w:rPr>
          <w:rFonts w:ascii="Arial" w:hAnsi="Arial" w:cs="Arial"/>
          <w:sz w:val="25"/>
          <w:szCs w:val="25"/>
        </w:rPr>
        <w:t>1219.°</w:t>
      </w:r>
      <w:proofErr w:type="gramEnd"/>
      <w:r w:rsidRPr="000350E3">
        <w:rPr>
          <w:rFonts w:ascii="Arial" w:hAnsi="Arial" w:cs="Arial"/>
          <w:sz w:val="25"/>
          <w:szCs w:val="25"/>
        </w:rPr>
        <w:t xml:space="preserve">, </w:t>
      </w:r>
      <w:proofErr w:type="gramStart"/>
      <w:r w:rsidRPr="000350E3">
        <w:rPr>
          <w:rFonts w:ascii="Arial" w:hAnsi="Arial" w:cs="Arial"/>
          <w:sz w:val="25"/>
          <w:szCs w:val="25"/>
        </w:rPr>
        <w:t>1321.°</w:t>
      </w:r>
      <w:proofErr w:type="gramEnd"/>
      <w:r w:rsidRPr="000350E3">
        <w:rPr>
          <w:rFonts w:ascii="Arial" w:hAnsi="Arial" w:cs="Arial"/>
          <w:sz w:val="25"/>
          <w:szCs w:val="25"/>
        </w:rPr>
        <w:t xml:space="preserve"> y 1428.°.</w:t>
      </w:r>
    </w:p>
    <w:p w14:paraId="1FE5F557" w14:textId="4FB35485" w:rsidR="008E47C5" w:rsidRPr="000350E3" w:rsidRDefault="00B47335" w:rsidP="000350E3">
      <w:pPr>
        <w:spacing w:line="276" w:lineRule="auto"/>
        <w:ind w:left="1134" w:hanging="1134"/>
        <w:jc w:val="both"/>
        <w:rPr>
          <w:rFonts w:ascii="Arial" w:hAnsi="Arial" w:cs="Arial"/>
          <w:sz w:val="25"/>
          <w:szCs w:val="25"/>
        </w:rPr>
      </w:pPr>
      <w:r w:rsidRPr="000350E3">
        <w:rPr>
          <w:rFonts w:ascii="Arial" w:hAnsi="Arial" w:cs="Arial"/>
          <w:sz w:val="25"/>
          <w:szCs w:val="25"/>
        </w:rPr>
        <w:t xml:space="preserve">Ley </w:t>
      </w:r>
      <w:proofErr w:type="spellStart"/>
      <w:r w:rsidRPr="000350E3">
        <w:rPr>
          <w:rFonts w:ascii="Arial" w:hAnsi="Arial" w:cs="Arial"/>
          <w:sz w:val="25"/>
          <w:szCs w:val="25"/>
        </w:rPr>
        <w:t>N.°</w:t>
      </w:r>
      <w:proofErr w:type="spellEnd"/>
      <w:r w:rsidRPr="000350E3">
        <w:rPr>
          <w:rFonts w:ascii="Arial" w:hAnsi="Arial" w:cs="Arial"/>
          <w:sz w:val="25"/>
          <w:szCs w:val="25"/>
        </w:rPr>
        <w:t xml:space="preserve"> 29571</w:t>
      </w:r>
      <w:r w:rsidR="00996DF5">
        <w:rPr>
          <w:rFonts w:ascii="Arial" w:hAnsi="Arial" w:cs="Arial"/>
          <w:sz w:val="25"/>
          <w:szCs w:val="25"/>
        </w:rPr>
        <w:t>:</w:t>
      </w:r>
      <w:r w:rsidRPr="000350E3">
        <w:rPr>
          <w:rFonts w:ascii="Arial" w:hAnsi="Arial" w:cs="Arial"/>
          <w:sz w:val="25"/>
          <w:szCs w:val="25"/>
        </w:rPr>
        <w:t xml:space="preserve"> Código de Protección y Defensa del Consumidor. Artículos </w:t>
      </w:r>
      <w:proofErr w:type="gramStart"/>
      <w:r w:rsidRPr="000350E3">
        <w:rPr>
          <w:rFonts w:ascii="Arial" w:hAnsi="Arial" w:cs="Arial"/>
          <w:sz w:val="25"/>
          <w:szCs w:val="25"/>
        </w:rPr>
        <w:t>1.°</w:t>
      </w:r>
      <w:proofErr w:type="gramEnd"/>
      <w:r w:rsidRPr="000350E3">
        <w:rPr>
          <w:rFonts w:ascii="Arial" w:hAnsi="Arial" w:cs="Arial"/>
          <w:sz w:val="25"/>
          <w:szCs w:val="25"/>
        </w:rPr>
        <w:t xml:space="preserve">, </w:t>
      </w:r>
      <w:proofErr w:type="gramStart"/>
      <w:r w:rsidRPr="000350E3">
        <w:rPr>
          <w:rFonts w:ascii="Arial" w:hAnsi="Arial" w:cs="Arial"/>
          <w:sz w:val="25"/>
          <w:szCs w:val="25"/>
        </w:rPr>
        <w:t>2.°</w:t>
      </w:r>
      <w:proofErr w:type="gramEnd"/>
      <w:r w:rsidRPr="000350E3">
        <w:rPr>
          <w:rFonts w:ascii="Arial" w:hAnsi="Arial" w:cs="Arial"/>
          <w:sz w:val="25"/>
          <w:szCs w:val="25"/>
        </w:rPr>
        <w:t xml:space="preserve"> y 19.°.</w:t>
      </w:r>
    </w:p>
    <w:p w14:paraId="5401BE88" w14:textId="77777777" w:rsidR="008E47C5" w:rsidRPr="000350E3" w:rsidRDefault="00B47335" w:rsidP="000350E3">
      <w:pPr>
        <w:spacing w:line="276" w:lineRule="auto"/>
        <w:ind w:left="1134" w:hanging="1134"/>
        <w:jc w:val="both"/>
        <w:rPr>
          <w:rFonts w:ascii="Arial" w:hAnsi="Arial" w:cs="Arial"/>
          <w:sz w:val="25"/>
          <w:szCs w:val="25"/>
        </w:rPr>
      </w:pPr>
      <w:r w:rsidRPr="000350E3">
        <w:rPr>
          <w:rFonts w:ascii="Arial" w:hAnsi="Arial" w:cs="Arial"/>
          <w:sz w:val="25"/>
          <w:szCs w:val="25"/>
        </w:rPr>
        <w:t xml:space="preserve">Texto Único Ordenado del Decreto Legislativo </w:t>
      </w:r>
      <w:proofErr w:type="spellStart"/>
      <w:r w:rsidRPr="000350E3">
        <w:rPr>
          <w:rFonts w:ascii="Arial" w:hAnsi="Arial" w:cs="Arial"/>
          <w:sz w:val="25"/>
          <w:szCs w:val="25"/>
        </w:rPr>
        <w:t>N.°</w:t>
      </w:r>
      <w:proofErr w:type="spellEnd"/>
      <w:r w:rsidRPr="000350E3">
        <w:rPr>
          <w:rFonts w:ascii="Arial" w:hAnsi="Arial" w:cs="Arial"/>
          <w:sz w:val="25"/>
          <w:szCs w:val="25"/>
        </w:rPr>
        <w:t xml:space="preserve"> 728 — Ley de Productividad y Competitividad Laboral. Decreto Supremo </w:t>
      </w:r>
      <w:proofErr w:type="spellStart"/>
      <w:r w:rsidRPr="000350E3">
        <w:rPr>
          <w:rFonts w:ascii="Arial" w:hAnsi="Arial" w:cs="Arial"/>
          <w:sz w:val="25"/>
          <w:szCs w:val="25"/>
        </w:rPr>
        <w:t>N.°</w:t>
      </w:r>
      <w:proofErr w:type="spellEnd"/>
      <w:r w:rsidRPr="000350E3">
        <w:rPr>
          <w:rFonts w:ascii="Arial" w:hAnsi="Arial" w:cs="Arial"/>
          <w:sz w:val="25"/>
          <w:szCs w:val="25"/>
        </w:rPr>
        <w:t xml:space="preserve"> 003-97-TR.</w:t>
      </w:r>
    </w:p>
    <w:p w14:paraId="61F73C86" w14:textId="77777777" w:rsidR="008E47C5" w:rsidRPr="000350E3" w:rsidRDefault="00B47335" w:rsidP="000350E3">
      <w:pPr>
        <w:spacing w:line="276" w:lineRule="auto"/>
        <w:ind w:left="1134" w:hanging="1134"/>
        <w:jc w:val="both"/>
        <w:rPr>
          <w:rFonts w:ascii="Arial" w:hAnsi="Arial" w:cs="Arial"/>
          <w:sz w:val="25"/>
          <w:szCs w:val="25"/>
        </w:rPr>
      </w:pPr>
      <w:r w:rsidRPr="000350E3">
        <w:rPr>
          <w:rFonts w:ascii="Arial" w:hAnsi="Arial" w:cs="Arial"/>
          <w:sz w:val="25"/>
          <w:szCs w:val="25"/>
        </w:rPr>
        <w:t>Bramont-Arias Torres, L. A. &amp; García Cantizano, M. C. (1997). Manual de Derecho Penal — Parte Especial. Editorial San Marcos.</w:t>
      </w:r>
    </w:p>
    <w:p w14:paraId="50AE036A" w14:textId="4C051EE2" w:rsidR="0D4BFA9C" w:rsidRPr="000350E3" w:rsidRDefault="0D4BFA9C" w:rsidP="000350E3">
      <w:pPr>
        <w:spacing w:line="276" w:lineRule="auto"/>
        <w:ind w:left="1134" w:hanging="1134"/>
        <w:jc w:val="both"/>
        <w:rPr>
          <w:rFonts w:ascii="Arial" w:hAnsi="Arial" w:cs="Arial"/>
          <w:sz w:val="25"/>
          <w:szCs w:val="25"/>
        </w:rPr>
      </w:pPr>
      <w:r w:rsidRPr="000350E3">
        <w:rPr>
          <w:rFonts w:ascii="Arial" w:hAnsi="Arial" w:cs="Arial"/>
          <w:sz w:val="25"/>
          <w:szCs w:val="25"/>
        </w:rPr>
        <w:t xml:space="preserve">Caro </w:t>
      </w:r>
      <w:proofErr w:type="spellStart"/>
      <w:r w:rsidRPr="000350E3">
        <w:rPr>
          <w:rFonts w:ascii="Arial" w:hAnsi="Arial" w:cs="Arial"/>
          <w:sz w:val="25"/>
          <w:szCs w:val="25"/>
        </w:rPr>
        <w:t>Jhon</w:t>
      </w:r>
      <w:proofErr w:type="spellEnd"/>
      <w:r w:rsidRPr="000350E3">
        <w:rPr>
          <w:rFonts w:ascii="Arial" w:hAnsi="Arial" w:cs="Arial"/>
          <w:sz w:val="25"/>
          <w:szCs w:val="25"/>
        </w:rPr>
        <w:t xml:space="preserve">, j. (2007) Diccionario de jurisprudencia penal. Lima, Perú, </w:t>
      </w:r>
      <w:proofErr w:type="spellStart"/>
      <w:r w:rsidRPr="000350E3">
        <w:rPr>
          <w:rFonts w:ascii="Arial" w:hAnsi="Arial" w:cs="Arial"/>
          <w:sz w:val="25"/>
          <w:szCs w:val="25"/>
        </w:rPr>
        <w:t>pag.</w:t>
      </w:r>
      <w:proofErr w:type="spellEnd"/>
      <w:r w:rsidRPr="000350E3">
        <w:rPr>
          <w:rFonts w:ascii="Arial" w:hAnsi="Arial" w:cs="Arial"/>
          <w:sz w:val="25"/>
          <w:szCs w:val="25"/>
        </w:rPr>
        <w:t xml:space="preserve"> 239.</w:t>
      </w:r>
    </w:p>
    <w:p w14:paraId="64D9C7B4" w14:textId="77777777" w:rsidR="008E47C5" w:rsidRPr="000350E3" w:rsidRDefault="00B47335" w:rsidP="000350E3">
      <w:pPr>
        <w:spacing w:line="276" w:lineRule="auto"/>
        <w:ind w:left="1134" w:hanging="1134"/>
        <w:jc w:val="both"/>
        <w:rPr>
          <w:rFonts w:ascii="Arial" w:hAnsi="Arial" w:cs="Arial"/>
          <w:sz w:val="25"/>
          <w:szCs w:val="25"/>
        </w:rPr>
      </w:pPr>
      <w:r w:rsidRPr="000350E3">
        <w:rPr>
          <w:rFonts w:ascii="Arial" w:hAnsi="Arial" w:cs="Arial"/>
          <w:sz w:val="25"/>
          <w:szCs w:val="25"/>
        </w:rPr>
        <w:t xml:space="preserve">Espinoza </w:t>
      </w:r>
      <w:proofErr w:type="spellStart"/>
      <w:r w:rsidRPr="000350E3">
        <w:rPr>
          <w:rFonts w:ascii="Arial" w:hAnsi="Arial" w:cs="Arial"/>
          <w:sz w:val="25"/>
          <w:szCs w:val="25"/>
        </w:rPr>
        <w:t>Espinoza</w:t>
      </w:r>
      <w:proofErr w:type="spellEnd"/>
      <w:r w:rsidRPr="000350E3">
        <w:rPr>
          <w:rFonts w:ascii="Arial" w:hAnsi="Arial" w:cs="Arial"/>
          <w:sz w:val="25"/>
          <w:szCs w:val="25"/>
        </w:rPr>
        <w:t xml:space="preserve">, J. (2004). Derecho de los Consumidores. </w:t>
      </w:r>
      <w:proofErr w:type="spellStart"/>
      <w:r w:rsidRPr="000350E3">
        <w:rPr>
          <w:rFonts w:ascii="Arial" w:hAnsi="Arial" w:cs="Arial"/>
          <w:sz w:val="25"/>
          <w:szCs w:val="25"/>
        </w:rPr>
        <w:t>Rhodas</w:t>
      </w:r>
      <w:proofErr w:type="spellEnd"/>
      <w:r w:rsidRPr="000350E3">
        <w:rPr>
          <w:rFonts w:ascii="Arial" w:hAnsi="Arial" w:cs="Arial"/>
          <w:sz w:val="25"/>
          <w:szCs w:val="25"/>
        </w:rPr>
        <w:t>.</w:t>
      </w:r>
    </w:p>
    <w:p w14:paraId="11CF3B3B" w14:textId="62F2FBA1" w:rsidR="008E47C5" w:rsidRDefault="00B47335" w:rsidP="000350E3">
      <w:pPr>
        <w:spacing w:line="276" w:lineRule="auto"/>
        <w:ind w:left="1134" w:hanging="1134"/>
        <w:jc w:val="both"/>
        <w:rPr>
          <w:rFonts w:ascii="Arial" w:hAnsi="Arial" w:cs="Arial"/>
          <w:sz w:val="25"/>
          <w:szCs w:val="25"/>
        </w:rPr>
      </w:pPr>
      <w:r w:rsidRPr="000350E3">
        <w:rPr>
          <w:rFonts w:ascii="Arial" w:hAnsi="Arial" w:cs="Arial"/>
          <w:sz w:val="25"/>
          <w:szCs w:val="25"/>
        </w:rPr>
        <w:t xml:space="preserve">Resoluciones del Tribunal del INDECOPI en materia de fondos colectivos e idoneidad del servicio. Disponibles en: </w:t>
      </w:r>
      <w:hyperlink r:id="rId8" w:history="1">
        <w:r w:rsidR="0089460F" w:rsidRPr="00EA1A5B">
          <w:rPr>
            <w:rStyle w:val="Hipervnculo"/>
            <w:rFonts w:ascii="Arial" w:hAnsi="Arial" w:cs="Arial"/>
            <w:sz w:val="25"/>
            <w:szCs w:val="25"/>
          </w:rPr>
          <w:t>www.indecopi.gob.pe</w:t>
        </w:r>
      </w:hyperlink>
    </w:p>
    <w:p w14:paraId="4F74BDD4" w14:textId="7DB750EA" w:rsidR="0089460F" w:rsidRPr="000350E3" w:rsidRDefault="0089460F" w:rsidP="000350E3">
      <w:pPr>
        <w:spacing w:line="276" w:lineRule="auto"/>
        <w:ind w:left="1134" w:hanging="1134"/>
        <w:jc w:val="both"/>
        <w:rPr>
          <w:rFonts w:ascii="Arial" w:hAnsi="Arial" w:cs="Arial"/>
          <w:sz w:val="25"/>
          <w:szCs w:val="25"/>
        </w:rPr>
      </w:pPr>
      <w:r w:rsidRPr="0089460F">
        <w:rPr>
          <w:rFonts w:ascii="Arial" w:hAnsi="Arial" w:cs="Arial"/>
          <w:sz w:val="25"/>
          <w:szCs w:val="25"/>
        </w:rPr>
        <w:t xml:space="preserve">Superintendencia del Mercado de Valores. (2025, 15 de enero). </w:t>
      </w:r>
      <w:r w:rsidRPr="0089460F">
        <w:rPr>
          <w:rFonts w:ascii="Arial" w:hAnsi="Arial" w:cs="Arial"/>
          <w:i/>
          <w:iCs/>
          <w:sz w:val="25"/>
          <w:szCs w:val="25"/>
        </w:rPr>
        <w:t>Manual de derechos de los asociados en el sistema de fondos colectivos y de sus empresas administradoras</w:t>
      </w:r>
      <w:r w:rsidRPr="0089460F">
        <w:rPr>
          <w:rFonts w:ascii="Arial" w:hAnsi="Arial" w:cs="Arial"/>
          <w:sz w:val="25"/>
          <w:szCs w:val="25"/>
        </w:rPr>
        <w:t xml:space="preserve"> [Manual]. Gobierno del Perú. </w:t>
      </w:r>
      <w:hyperlink r:id="rId9" w:tgtFrame="_new" w:history="1">
        <w:r w:rsidRPr="0089460F">
          <w:rPr>
            <w:rStyle w:val="Hipervnculo"/>
            <w:rFonts w:ascii="Arial" w:hAnsi="Arial" w:cs="Arial"/>
            <w:sz w:val="25"/>
            <w:szCs w:val="25"/>
          </w:rPr>
          <w:t>https://www.gob.pe/institucion/smv/informes-publicaciones/6377638-manual-de-derechos-de-los-asociados</w:t>
        </w:r>
      </w:hyperlink>
    </w:p>
    <w:sectPr w:rsidR="0089460F" w:rsidRPr="000350E3">
      <w:headerReference w:type="default" r:id="rId10"/>
      <w:footerReference w:type="default" r:id="rId11"/>
      <w:pgSz w:w="11906" w:h="16838"/>
      <w:pgMar w:top="1800" w:right="1800" w:bottom="1800" w:left="18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655B" w14:textId="77777777" w:rsidR="00E00D8E" w:rsidRDefault="00E00D8E" w:rsidP="00C87C87">
      <w:r>
        <w:separator/>
      </w:r>
    </w:p>
  </w:endnote>
  <w:endnote w:type="continuationSeparator" w:id="0">
    <w:p w14:paraId="0AD75FE7" w14:textId="77777777" w:rsidR="00E00D8E" w:rsidRDefault="00E00D8E" w:rsidP="00C8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302000"/>
      <w:docPartObj>
        <w:docPartGallery w:val="Page Numbers (Bottom of Page)"/>
        <w:docPartUnique/>
      </w:docPartObj>
    </w:sdtPr>
    <w:sdtContent>
      <w:p w14:paraId="728B6D9E" w14:textId="64EFE6C3" w:rsidR="00DE2B9C" w:rsidRDefault="00DE2B9C">
        <w:pPr>
          <w:pStyle w:val="Piedepgina"/>
          <w:jc w:val="right"/>
        </w:pPr>
        <w:r>
          <w:fldChar w:fldCharType="begin"/>
        </w:r>
        <w:r>
          <w:instrText>PAGE   \* MERGEFORMAT</w:instrText>
        </w:r>
        <w:r>
          <w:fldChar w:fldCharType="separate"/>
        </w:r>
        <w:r>
          <w:rPr>
            <w:lang w:val="es-ES"/>
          </w:rPr>
          <w:t>2</w:t>
        </w:r>
        <w:r>
          <w:fldChar w:fldCharType="end"/>
        </w:r>
      </w:p>
    </w:sdtContent>
  </w:sdt>
  <w:p w14:paraId="2891AB10" w14:textId="37424470" w:rsidR="00C87C87" w:rsidRDefault="00C87C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F4ED9" w14:textId="77777777" w:rsidR="00E00D8E" w:rsidRDefault="00E00D8E" w:rsidP="00C87C87">
      <w:r>
        <w:separator/>
      </w:r>
    </w:p>
  </w:footnote>
  <w:footnote w:type="continuationSeparator" w:id="0">
    <w:p w14:paraId="090C4F0B" w14:textId="77777777" w:rsidR="00E00D8E" w:rsidRDefault="00E00D8E" w:rsidP="00C87C87">
      <w:r>
        <w:continuationSeparator/>
      </w:r>
    </w:p>
  </w:footnote>
  <w:footnote w:id="1">
    <w:p w14:paraId="12FE4E33" w14:textId="483C6D07" w:rsidR="00521CF4" w:rsidRPr="00E020B7" w:rsidRDefault="00521CF4" w:rsidP="00521CF4">
      <w:pPr>
        <w:pStyle w:val="Textonotapie"/>
        <w:jc w:val="both"/>
        <w:rPr>
          <w:sz w:val="22"/>
          <w:szCs w:val="22"/>
        </w:rPr>
      </w:pPr>
      <w:r w:rsidRPr="00E020B7">
        <w:rPr>
          <w:rStyle w:val="Refdenotaalpie"/>
          <w:sz w:val="22"/>
          <w:szCs w:val="22"/>
        </w:rPr>
        <w:footnoteRef/>
      </w:r>
      <w:r w:rsidRPr="00E020B7">
        <w:rPr>
          <w:sz w:val="22"/>
          <w:szCs w:val="22"/>
        </w:rPr>
        <w:t xml:space="preserve"> Con más de </w:t>
      </w:r>
      <w:r w:rsidR="00E020B7" w:rsidRPr="00E020B7">
        <w:rPr>
          <w:sz w:val="22"/>
          <w:szCs w:val="22"/>
        </w:rPr>
        <w:t>10</w:t>
      </w:r>
      <w:r w:rsidRPr="00E020B7">
        <w:rPr>
          <w:sz w:val="22"/>
          <w:szCs w:val="22"/>
        </w:rPr>
        <w:t xml:space="preserve"> años </w:t>
      </w:r>
      <w:r w:rsidR="00E020B7" w:rsidRPr="00E020B7">
        <w:rPr>
          <w:sz w:val="22"/>
          <w:szCs w:val="22"/>
        </w:rPr>
        <w:t xml:space="preserve">de experiencia </w:t>
      </w:r>
      <w:r w:rsidRPr="00E020B7">
        <w:rPr>
          <w:sz w:val="22"/>
          <w:szCs w:val="22"/>
        </w:rPr>
        <w:t>en el rubro corporativo y maestría en Derecho Empresarial</w:t>
      </w:r>
      <w:r w:rsidR="00E020B7" w:rsidRPr="00E020B7">
        <w:rPr>
          <w:sz w:val="22"/>
          <w:szCs w:val="22"/>
        </w:rPr>
        <w:t xml:space="preserve"> en la Universidad San Ignacio de Loyola</w:t>
      </w:r>
      <w:r w:rsidRPr="00E020B7">
        <w:rPr>
          <w:sz w:val="22"/>
          <w:szCs w:val="22"/>
        </w:rPr>
        <w:t xml:space="preserve"> con mención en negocios internacionales</w:t>
      </w:r>
      <w:r w:rsidR="00E020B7" w:rsidRPr="00E020B7">
        <w:rPr>
          <w:sz w:val="22"/>
          <w:szCs w:val="22"/>
        </w:rPr>
        <w:t>. Con alta e</w:t>
      </w:r>
      <w:r w:rsidRPr="00E020B7">
        <w:rPr>
          <w:sz w:val="22"/>
          <w:szCs w:val="22"/>
        </w:rPr>
        <w:t xml:space="preserve">xperiencia </w:t>
      </w:r>
      <w:r w:rsidR="00E020B7" w:rsidRPr="00E020B7">
        <w:rPr>
          <w:sz w:val="22"/>
          <w:szCs w:val="22"/>
        </w:rPr>
        <w:t xml:space="preserve">y estudios </w:t>
      </w:r>
      <w:r w:rsidRPr="00E020B7">
        <w:rPr>
          <w:sz w:val="22"/>
          <w:szCs w:val="22"/>
        </w:rPr>
        <w:t>en Derecho del Consumidor y Derecho Administrativo</w:t>
      </w:r>
      <w:r w:rsidR="00E020B7" w:rsidRPr="00E020B7">
        <w:rPr>
          <w:sz w:val="22"/>
          <w:szCs w:val="22"/>
        </w:rPr>
        <w:t xml:space="preserve"> en la Universidad del Pacifico</w:t>
      </w:r>
      <w:r w:rsidRPr="00E020B7">
        <w:rPr>
          <w:sz w:val="22"/>
          <w:szCs w:val="22"/>
        </w:rPr>
        <w:t xml:space="preserve">. </w:t>
      </w:r>
      <w:r w:rsidR="00E020B7" w:rsidRPr="00E020B7">
        <w:rPr>
          <w:sz w:val="22"/>
          <w:szCs w:val="22"/>
        </w:rPr>
        <w:t xml:space="preserve">Con cursos de especialización en </w:t>
      </w:r>
      <w:proofErr w:type="spellStart"/>
      <w:r w:rsidR="00E020B7" w:rsidRPr="00E020B7">
        <w:rPr>
          <w:sz w:val="22"/>
          <w:szCs w:val="22"/>
        </w:rPr>
        <w:t>Corporate</w:t>
      </w:r>
      <w:proofErr w:type="spellEnd"/>
      <w:r w:rsidR="00E020B7" w:rsidRPr="00E020B7">
        <w:rPr>
          <w:sz w:val="22"/>
          <w:szCs w:val="22"/>
        </w:rPr>
        <w:t xml:space="preserve"> </w:t>
      </w:r>
      <w:proofErr w:type="spellStart"/>
      <w:r w:rsidR="00E020B7" w:rsidRPr="00E020B7">
        <w:rPr>
          <w:sz w:val="22"/>
          <w:szCs w:val="22"/>
        </w:rPr>
        <w:t>Compliance</w:t>
      </w:r>
      <w:proofErr w:type="spellEnd"/>
      <w:r w:rsidR="00E020B7" w:rsidRPr="00E020B7">
        <w:rPr>
          <w:sz w:val="22"/>
          <w:szCs w:val="22"/>
        </w:rPr>
        <w:t xml:space="preserve"> en la Universidad de Posgrado de la Universidad San Ignacio de Loyola.</w:t>
      </w:r>
    </w:p>
    <w:p w14:paraId="6251E3F4" w14:textId="77777777" w:rsidR="00E020B7" w:rsidRPr="00E020B7" w:rsidRDefault="00E020B7" w:rsidP="00521CF4">
      <w:pPr>
        <w:pStyle w:val="Textonotapie"/>
        <w:jc w:val="both"/>
        <w:rPr>
          <w:sz w:val="22"/>
          <w:szCs w:val="22"/>
        </w:rPr>
      </w:pPr>
    </w:p>
  </w:footnote>
  <w:footnote w:id="2">
    <w:p w14:paraId="2E3E6173" w14:textId="04BDF192" w:rsidR="00521CF4" w:rsidRPr="00E020B7" w:rsidRDefault="00521CF4" w:rsidP="00521CF4">
      <w:pPr>
        <w:pStyle w:val="Textonotapie"/>
        <w:jc w:val="both"/>
        <w:rPr>
          <w:sz w:val="22"/>
          <w:szCs w:val="22"/>
          <w:lang w:val="es-MX"/>
        </w:rPr>
      </w:pPr>
      <w:r w:rsidRPr="00E020B7">
        <w:rPr>
          <w:rStyle w:val="Refdenotaalpie"/>
          <w:sz w:val="22"/>
          <w:szCs w:val="22"/>
        </w:rPr>
        <w:footnoteRef/>
      </w:r>
      <w:r w:rsidRPr="00E020B7">
        <w:rPr>
          <w:sz w:val="22"/>
          <w:szCs w:val="22"/>
        </w:rPr>
        <w:t xml:space="preserve"> Abogada </w:t>
      </w:r>
      <w:r w:rsidR="00E020B7" w:rsidRPr="00E020B7">
        <w:rPr>
          <w:sz w:val="22"/>
          <w:szCs w:val="22"/>
        </w:rPr>
        <w:t>con estudios en maestría en Derecho Procesal en la Universidad Nacional Mayor de San Marcos.</w:t>
      </w:r>
      <w:r w:rsidRPr="00E020B7">
        <w:rPr>
          <w:sz w:val="22"/>
          <w:szCs w:val="22"/>
        </w:rPr>
        <w:t xml:space="preserve"> Estudios en el congreso internacional sobre razonamiento probatorio de la </w:t>
      </w:r>
      <w:proofErr w:type="spellStart"/>
      <w:r w:rsidRPr="00E020B7">
        <w:rPr>
          <w:sz w:val="22"/>
          <w:szCs w:val="22"/>
        </w:rPr>
        <w:t>Univesitat</w:t>
      </w:r>
      <w:proofErr w:type="spellEnd"/>
      <w:r w:rsidRPr="00E020B7">
        <w:rPr>
          <w:sz w:val="22"/>
          <w:szCs w:val="22"/>
        </w:rPr>
        <w:t xml:space="preserve"> de Girona; cursos en la Pontificia Universidad Católica del Perú: Actualización en razonamiento probatorio, y curso Especializado en Destrezas de Litigación Oral, además de diversos diplomados y cursos sobre Derecho Procesal Penal y delitos contra la administración pública. Miembro del Instituto de Ciencia Procesal Penal (INCIPP). </w:t>
      </w:r>
    </w:p>
  </w:footnote>
  <w:footnote w:id="3">
    <w:p w14:paraId="4991F27B" w14:textId="20057B59" w:rsidR="0089460F" w:rsidRPr="00E020B7" w:rsidRDefault="0089460F">
      <w:pPr>
        <w:pStyle w:val="Textonotapie"/>
        <w:rPr>
          <w:sz w:val="22"/>
          <w:szCs w:val="22"/>
          <w:lang w:val="es-MX"/>
        </w:rPr>
      </w:pPr>
      <w:r w:rsidRPr="00E020B7">
        <w:rPr>
          <w:rStyle w:val="Refdenotaalpie"/>
          <w:sz w:val="22"/>
          <w:szCs w:val="22"/>
        </w:rPr>
        <w:footnoteRef/>
      </w:r>
      <w:r w:rsidRPr="00E020B7">
        <w:rPr>
          <w:sz w:val="22"/>
          <w:szCs w:val="22"/>
        </w:rPr>
        <w:t xml:space="preserve"> Superintendencia del Mercado de Valores. (2025, 15 de enero). </w:t>
      </w:r>
      <w:r w:rsidRPr="00E020B7">
        <w:rPr>
          <w:i/>
          <w:iCs/>
          <w:sz w:val="22"/>
          <w:szCs w:val="22"/>
        </w:rPr>
        <w:t>Manual de derechos de los asociados en el sistema de fondos colectivos y de sus empresas administradoras</w:t>
      </w:r>
      <w:r w:rsidRPr="00E020B7">
        <w:rPr>
          <w:sz w:val="22"/>
          <w:szCs w:val="22"/>
        </w:rPr>
        <w:t xml:space="preserve"> [Manual]. Gobierno del Perú. </w:t>
      </w:r>
      <w:hyperlink r:id="rId1" w:tgtFrame="_new" w:history="1">
        <w:r w:rsidRPr="00E020B7">
          <w:rPr>
            <w:rStyle w:val="Hipervnculo"/>
            <w:sz w:val="22"/>
            <w:szCs w:val="22"/>
          </w:rPr>
          <w:t>https://www.gob.pe/institucion/smv/informes-publicaciones/6377638-manual-de-derechos-de-los-asociados</w:t>
        </w:r>
      </w:hyperlink>
    </w:p>
  </w:footnote>
  <w:footnote w:id="4">
    <w:p w14:paraId="25518157" w14:textId="34760F83" w:rsidR="000E4E24" w:rsidRPr="00E020B7" w:rsidRDefault="000E4E24">
      <w:pPr>
        <w:pStyle w:val="Textonotapie"/>
        <w:rPr>
          <w:sz w:val="22"/>
          <w:szCs w:val="22"/>
          <w:lang w:val="es-MX"/>
        </w:rPr>
      </w:pPr>
      <w:r w:rsidRPr="00E020B7">
        <w:rPr>
          <w:rStyle w:val="Refdenotaalpie"/>
          <w:sz w:val="22"/>
          <w:szCs w:val="22"/>
        </w:rPr>
        <w:footnoteRef/>
      </w:r>
      <w:r w:rsidRPr="00E020B7">
        <w:rPr>
          <w:sz w:val="22"/>
          <w:szCs w:val="22"/>
        </w:rPr>
        <w:t xml:space="preserve"> Superintendencia del Mercado de Valores. (2014, 21 de septiembre). </w:t>
      </w:r>
      <w:r w:rsidRPr="00E020B7">
        <w:rPr>
          <w:i/>
          <w:iCs/>
          <w:sz w:val="22"/>
          <w:szCs w:val="22"/>
        </w:rPr>
        <w:t xml:space="preserve">Resolución SMV </w:t>
      </w:r>
      <w:proofErr w:type="spellStart"/>
      <w:r w:rsidRPr="00E020B7">
        <w:rPr>
          <w:i/>
          <w:iCs/>
          <w:sz w:val="22"/>
          <w:szCs w:val="22"/>
        </w:rPr>
        <w:t>N.°</w:t>
      </w:r>
      <w:proofErr w:type="spellEnd"/>
      <w:r w:rsidRPr="00E020B7">
        <w:rPr>
          <w:i/>
          <w:iCs/>
          <w:sz w:val="22"/>
          <w:szCs w:val="22"/>
        </w:rPr>
        <w:t xml:space="preserve"> 020-2014: Reglamento del Sistema de Fondos Colectivos y de sus Empresas Administradoras</w:t>
      </w:r>
      <w:r w:rsidRPr="00E020B7">
        <w:rPr>
          <w:sz w:val="22"/>
          <w:szCs w:val="22"/>
        </w:rPr>
        <w:t xml:space="preserve"> [Norma legal]. Gobierno del Perú. </w:t>
      </w:r>
      <w:hyperlink r:id="rId2" w:tgtFrame="_new" w:history="1">
        <w:r w:rsidRPr="00E020B7">
          <w:rPr>
            <w:rStyle w:val="Hipervnculo"/>
            <w:sz w:val="22"/>
            <w:szCs w:val="22"/>
          </w:rPr>
          <w:t>https://www.gob.pe/institucion/smv/normas-legales/3947541-020-201</w:t>
        </w:r>
      </w:hyperlink>
    </w:p>
  </w:footnote>
  <w:footnote w:id="5">
    <w:p w14:paraId="75DB2C35" w14:textId="56AC87A5" w:rsidR="000E4E24" w:rsidRPr="00E020B7" w:rsidRDefault="000E4E24">
      <w:pPr>
        <w:pStyle w:val="Textonotapie"/>
        <w:rPr>
          <w:sz w:val="22"/>
          <w:szCs w:val="22"/>
          <w:lang w:val="es-MX"/>
        </w:rPr>
      </w:pPr>
      <w:r w:rsidRPr="00E020B7">
        <w:rPr>
          <w:rStyle w:val="Refdenotaalpie"/>
          <w:sz w:val="22"/>
          <w:szCs w:val="22"/>
        </w:rPr>
        <w:footnoteRef/>
      </w:r>
      <w:r w:rsidRPr="00E020B7">
        <w:rPr>
          <w:sz w:val="22"/>
          <w:szCs w:val="22"/>
        </w:rPr>
        <w:t xml:space="preserve"> Instituto Nacional de Defensa de la Competencia y de la Protección de la Propiedad Intelectual (INDECOPI). (2010, 2 de septiembre). </w:t>
      </w:r>
      <w:r w:rsidRPr="00E020B7">
        <w:rPr>
          <w:i/>
          <w:iCs/>
          <w:sz w:val="22"/>
          <w:szCs w:val="22"/>
        </w:rPr>
        <w:t xml:space="preserve">Ley </w:t>
      </w:r>
      <w:proofErr w:type="spellStart"/>
      <w:r w:rsidRPr="00E020B7">
        <w:rPr>
          <w:i/>
          <w:iCs/>
          <w:sz w:val="22"/>
          <w:szCs w:val="22"/>
        </w:rPr>
        <w:t>N.°</w:t>
      </w:r>
      <w:proofErr w:type="spellEnd"/>
      <w:r w:rsidRPr="00E020B7">
        <w:rPr>
          <w:i/>
          <w:iCs/>
          <w:sz w:val="22"/>
          <w:szCs w:val="22"/>
        </w:rPr>
        <w:t xml:space="preserve"> 29571: Código de protección y defensa del consumidor</w:t>
      </w:r>
      <w:r w:rsidRPr="00E020B7">
        <w:rPr>
          <w:sz w:val="22"/>
          <w:szCs w:val="22"/>
        </w:rPr>
        <w:t xml:space="preserve"> [Norma legal]. Gobierno del Perú. </w:t>
      </w:r>
      <w:hyperlink r:id="rId3" w:tgtFrame="_new" w:history="1">
        <w:r w:rsidRPr="00E020B7">
          <w:rPr>
            <w:rStyle w:val="Hipervnculo"/>
            <w:sz w:val="22"/>
            <w:szCs w:val="22"/>
          </w:rPr>
          <w:t>https://www.gob.pe/institucion/indecopi/normas-legales/1244218-29571</w:t>
        </w:r>
      </w:hyperlink>
    </w:p>
  </w:footnote>
  <w:footnote w:id="6">
    <w:p w14:paraId="29A0A49F" w14:textId="172254D3" w:rsidR="175966E8" w:rsidRPr="00E020B7" w:rsidRDefault="175966E8" w:rsidP="175966E8">
      <w:pPr>
        <w:pStyle w:val="Textonotapie"/>
        <w:rPr>
          <w:sz w:val="22"/>
          <w:szCs w:val="22"/>
        </w:rPr>
      </w:pPr>
      <w:r w:rsidRPr="00E020B7">
        <w:rPr>
          <w:rStyle w:val="Refdenotaalpie"/>
          <w:sz w:val="22"/>
          <w:szCs w:val="22"/>
        </w:rPr>
        <w:footnoteRef/>
      </w:r>
      <w:r w:rsidR="3F5F63DD" w:rsidRPr="00E020B7">
        <w:rPr>
          <w:sz w:val="22"/>
          <w:szCs w:val="22"/>
        </w:rPr>
        <w:t xml:space="preserve">Casación </w:t>
      </w:r>
      <w:proofErr w:type="spellStart"/>
      <w:r w:rsidR="3F5F63DD" w:rsidRPr="00E020B7">
        <w:rPr>
          <w:sz w:val="22"/>
          <w:szCs w:val="22"/>
        </w:rPr>
        <w:t>N°</w:t>
      </w:r>
      <w:proofErr w:type="spellEnd"/>
      <w:r w:rsidR="3F5F63DD" w:rsidRPr="00E020B7">
        <w:rPr>
          <w:sz w:val="22"/>
          <w:szCs w:val="22"/>
        </w:rPr>
        <w:t xml:space="preserve"> 421-2015/Arequipa</w:t>
      </w:r>
    </w:p>
  </w:footnote>
  <w:footnote w:id="7">
    <w:p w14:paraId="1AF16E59" w14:textId="7BAC2A5E" w:rsidR="3F5F63DD" w:rsidRPr="00E020B7" w:rsidRDefault="3F5F63DD" w:rsidP="3F5F63DD">
      <w:pPr>
        <w:pStyle w:val="Textonotapie"/>
        <w:rPr>
          <w:sz w:val="22"/>
          <w:szCs w:val="22"/>
        </w:rPr>
      </w:pPr>
      <w:r w:rsidRPr="00E020B7">
        <w:rPr>
          <w:rStyle w:val="Refdenotaalpie"/>
          <w:sz w:val="22"/>
          <w:szCs w:val="22"/>
        </w:rPr>
        <w:footnoteRef/>
      </w:r>
      <w:r w:rsidRPr="00E020B7">
        <w:rPr>
          <w:sz w:val="22"/>
          <w:szCs w:val="22"/>
        </w:rPr>
        <w:t xml:space="preserve"> Caro </w:t>
      </w:r>
      <w:proofErr w:type="spellStart"/>
      <w:r w:rsidRPr="00E020B7">
        <w:rPr>
          <w:sz w:val="22"/>
          <w:szCs w:val="22"/>
        </w:rPr>
        <w:t>Jhon</w:t>
      </w:r>
      <w:proofErr w:type="spellEnd"/>
      <w:r w:rsidRPr="00E020B7">
        <w:rPr>
          <w:sz w:val="22"/>
          <w:szCs w:val="22"/>
        </w:rPr>
        <w:t xml:space="preserve">, j. (2007) Diccionario de jurisprudencia penal. Lima, Perú, </w:t>
      </w:r>
      <w:proofErr w:type="spellStart"/>
      <w:r w:rsidRPr="00E020B7">
        <w:rPr>
          <w:sz w:val="22"/>
          <w:szCs w:val="22"/>
        </w:rPr>
        <w:t>pag.</w:t>
      </w:r>
      <w:proofErr w:type="spellEnd"/>
      <w:r w:rsidRPr="00E020B7">
        <w:rPr>
          <w:sz w:val="22"/>
          <w:szCs w:val="22"/>
        </w:rPr>
        <w:t xml:space="preserve"> 239.</w:t>
      </w:r>
    </w:p>
    <w:p w14:paraId="66CE0AFF" w14:textId="73BF4AB1" w:rsidR="3F5F63DD" w:rsidRPr="00E020B7" w:rsidRDefault="3F5F63DD" w:rsidP="3F5F63DD">
      <w:pPr>
        <w:pStyle w:val="Textonotapie"/>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765"/>
      <w:gridCol w:w="2765"/>
      <w:gridCol w:w="2765"/>
    </w:tblGrid>
    <w:tr w:rsidR="00070234" w14:paraId="58EFCA95" w14:textId="77777777" w:rsidTr="7207D6D1">
      <w:trPr>
        <w:trHeight w:val="300"/>
      </w:trPr>
      <w:tc>
        <w:tcPr>
          <w:tcW w:w="2765" w:type="dxa"/>
        </w:tcPr>
        <w:p w14:paraId="5DF93F59" w14:textId="5C29EED1" w:rsidR="7207D6D1" w:rsidRDefault="7207D6D1" w:rsidP="7207D6D1">
          <w:pPr>
            <w:pStyle w:val="Encabezado"/>
            <w:ind w:left="-115"/>
          </w:pPr>
        </w:p>
      </w:tc>
      <w:tc>
        <w:tcPr>
          <w:tcW w:w="2765" w:type="dxa"/>
        </w:tcPr>
        <w:p w14:paraId="488517D6" w14:textId="079E0923" w:rsidR="7207D6D1" w:rsidRDefault="7207D6D1" w:rsidP="7207D6D1">
          <w:pPr>
            <w:pStyle w:val="Encabezado"/>
            <w:jc w:val="center"/>
          </w:pPr>
        </w:p>
      </w:tc>
      <w:tc>
        <w:tcPr>
          <w:tcW w:w="2765" w:type="dxa"/>
        </w:tcPr>
        <w:p w14:paraId="732ED578" w14:textId="32975F0C" w:rsidR="7207D6D1" w:rsidRDefault="7207D6D1" w:rsidP="7207D6D1">
          <w:pPr>
            <w:pStyle w:val="Encabezado"/>
            <w:ind w:right="-115"/>
            <w:jc w:val="right"/>
          </w:pPr>
        </w:p>
      </w:tc>
    </w:tr>
  </w:tbl>
  <w:p w14:paraId="7065DB90" w14:textId="6F3F9B4D" w:rsidR="00C87C87" w:rsidRDefault="00C87C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2FE1"/>
    <w:multiLevelType w:val="hybridMultilevel"/>
    <w:tmpl w:val="09C057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4BBA69FA"/>
    <w:multiLevelType w:val="hybridMultilevel"/>
    <w:tmpl w:val="FB2C652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7BA95E8B"/>
    <w:multiLevelType w:val="hybridMultilevel"/>
    <w:tmpl w:val="90A222A4"/>
    <w:lvl w:ilvl="0" w:tplc="6A92E036">
      <w:start w:val="1"/>
      <w:numFmt w:val="bullet"/>
      <w:lvlText w:val="●"/>
      <w:lvlJc w:val="left"/>
      <w:pPr>
        <w:ind w:left="720" w:hanging="360"/>
      </w:pPr>
    </w:lvl>
    <w:lvl w:ilvl="1" w:tplc="00C4CE16">
      <w:start w:val="1"/>
      <w:numFmt w:val="bullet"/>
      <w:lvlText w:val="○"/>
      <w:lvlJc w:val="left"/>
      <w:pPr>
        <w:ind w:left="1440" w:hanging="360"/>
      </w:pPr>
    </w:lvl>
    <w:lvl w:ilvl="2" w:tplc="CB96E130">
      <w:start w:val="1"/>
      <w:numFmt w:val="bullet"/>
      <w:lvlText w:val="■"/>
      <w:lvlJc w:val="left"/>
      <w:pPr>
        <w:ind w:left="2160" w:hanging="360"/>
      </w:pPr>
    </w:lvl>
    <w:lvl w:ilvl="3" w:tplc="8C18FC3E">
      <w:start w:val="1"/>
      <w:numFmt w:val="bullet"/>
      <w:lvlText w:val="●"/>
      <w:lvlJc w:val="left"/>
      <w:pPr>
        <w:ind w:left="2880" w:hanging="360"/>
      </w:pPr>
    </w:lvl>
    <w:lvl w:ilvl="4" w:tplc="601C8E34">
      <w:start w:val="1"/>
      <w:numFmt w:val="bullet"/>
      <w:lvlText w:val="○"/>
      <w:lvlJc w:val="left"/>
      <w:pPr>
        <w:ind w:left="3600" w:hanging="360"/>
      </w:pPr>
    </w:lvl>
    <w:lvl w:ilvl="5" w:tplc="F176CD88">
      <w:start w:val="1"/>
      <w:numFmt w:val="bullet"/>
      <w:lvlText w:val="■"/>
      <w:lvlJc w:val="left"/>
      <w:pPr>
        <w:ind w:left="4320" w:hanging="360"/>
      </w:pPr>
    </w:lvl>
    <w:lvl w:ilvl="6" w:tplc="68E8F8CE">
      <w:start w:val="1"/>
      <w:numFmt w:val="bullet"/>
      <w:lvlText w:val="●"/>
      <w:lvlJc w:val="left"/>
      <w:pPr>
        <w:ind w:left="5040" w:hanging="360"/>
      </w:pPr>
    </w:lvl>
    <w:lvl w:ilvl="7" w:tplc="79C6FB8A">
      <w:start w:val="1"/>
      <w:numFmt w:val="bullet"/>
      <w:lvlText w:val="●"/>
      <w:lvlJc w:val="left"/>
      <w:pPr>
        <w:ind w:left="5760" w:hanging="360"/>
      </w:pPr>
    </w:lvl>
    <w:lvl w:ilvl="8" w:tplc="901E3CCE">
      <w:start w:val="1"/>
      <w:numFmt w:val="bullet"/>
      <w:lvlText w:val="●"/>
      <w:lvlJc w:val="left"/>
      <w:pPr>
        <w:ind w:left="6480" w:hanging="360"/>
      </w:pPr>
    </w:lvl>
  </w:abstractNum>
  <w:num w:numId="1" w16cid:durableId="1066298653">
    <w:abstractNumId w:val="2"/>
    <w:lvlOverride w:ilvl="0">
      <w:startOverride w:val="1"/>
    </w:lvlOverride>
  </w:num>
  <w:num w:numId="2" w16cid:durableId="566887427">
    <w:abstractNumId w:val="0"/>
  </w:num>
  <w:num w:numId="3" w16cid:durableId="611136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7C5"/>
    <w:rsid w:val="00004CF6"/>
    <w:rsid w:val="0001119B"/>
    <w:rsid w:val="000113CA"/>
    <w:rsid w:val="00016765"/>
    <w:rsid w:val="00021B67"/>
    <w:rsid w:val="000225C9"/>
    <w:rsid w:val="00024A98"/>
    <w:rsid w:val="00025D24"/>
    <w:rsid w:val="00026B3C"/>
    <w:rsid w:val="00034A21"/>
    <w:rsid w:val="000350E3"/>
    <w:rsid w:val="00035231"/>
    <w:rsid w:val="0003779E"/>
    <w:rsid w:val="000403A1"/>
    <w:rsid w:val="00045F81"/>
    <w:rsid w:val="00046A2C"/>
    <w:rsid w:val="00046B90"/>
    <w:rsid w:val="000472CC"/>
    <w:rsid w:val="000521AF"/>
    <w:rsid w:val="000529AA"/>
    <w:rsid w:val="00053D05"/>
    <w:rsid w:val="00054331"/>
    <w:rsid w:val="00060991"/>
    <w:rsid w:val="0006539B"/>
    <w:rsid w:val="000662F0"/>
    <w:rsid w:val="00066DB7"/>
    <w:rsid w:val="00067CCB"/>
    <w:rsid w:val="00070234"/>
    <w:rsid w:val="00071A1C"/>
    <w:rsid w:val="000823B0"/>
    <w:rsid w:val="000826C9"/>
    <w:rsid w:val="0008603F"/>
    <w:rsid w:val="0008720C"/>
    <w:rsid w:val="0008751E"/>
    <w:rsid w:val="00090D9F"/>
    <w:rsid w:val="00090E8F"/>
    <w:rsid w:val="00092971"/>
    <w:rsid w:val="0009416C"/>
    <w:rsid w:val="0009746E"/>
    <w:rsid w:val="000A0300"/>
    <w:rsid w:val="000A2F47"/>
    <w:rsid w:val="000A505E"/>
    <w:rsid w:val="000A50E6"/>
    <w:rsid w:val="000A7687"/>
    <w:rsid w:val="000C0935"/>
    <w:rsid w:val="000C19A9"/>
    <w:rsid w:val="000C4D8E"/>
    <w:rsid w:val="000C616E"/>
    <w:rsid w:val="000E4E24"/>
    <w:rsid w:val="000F3FAB"/>
    <w:rsid w:val="00101C98"/>
    <w:rsid w:val="00105479"/>
    <w:rsid w:val="001107B1"/>
    <w:rsid w:val="00110F35"/>
    <w:rsid w:val="0011599C"/>
    <w:rsid w:val="0011783D"/>
    <w:rsid w:val="00127EE8"/>
    <w:rsid w:val="00133799"/>
    <w:rsid w:val="00134391"/>
    <w:rsid w:val="00137E02"/>
    <w:rsid w:val="001455A7"/>
    <w:rsid w:val="0014566B"/>
    <w:rsid w:val="0014748C"/>
    <w:rsid w:val="00152721"/>
    <w:rsid w:val="00156BA0"/>
    <w:rsid w:val="001623EA"/>
    <w:rsid w:val="001625B1"/>
    <w:rsid w:val="00166632"/>
    <w:rsid w:val="001742B6"/>
    <w:rsid w:val="001763A7"/>
    <w:rsid w:val="0017718C"/>
    <w:rsid w:val="00181317"/>
    <w:rsid w:val="00183500"/>
    <w:rsid w:val="00183622"/>
    <w:rsid w:val="00190233"/>
    <w:rsid w:val="001902C0"/>
    <w:rsid w:val="00191F09"/>
    <w:rsid w:val="00194C7B"/>
    <w:rsid w:val="001A3582"/>
    <w:rsid w:val="001A6CDC"/>
    <w:rsid w:val="001B29E7"/>
    <w:rsid w:val="001B31F2"/>
    <w:rsid w:val="001C333C"/>
    <w:rsid w:val="001C5C15"/>
    <w:rsid w:val="001D1206"/>
    <w:rsid w:val="001D1431"/>
    <w:rsid w:val="001F6CDB"/>
    <w:rsid w:val="002467F9"/>
    <w:rsid w:val="00252079"/>
    <w:rsid w:val="002520F7"/>
    <w:rsid w:val="00257782"/>
    <w:rsid w:val="00260DD4"/>
    <w:rsid w:val="002744C8"/>
    <w:rsid w:val="00276AC1"/>
    <w:rsid w:val="002827E6"/>
    <w:rsid w:val="00293317"/>
    <w:rsid w:val="00296571"/>
    <w:rsid w:val="002A0C6D"/>
    <w:rsid w:val="002B374B"/>
    <w:rsid w:val="002C0E77"/>
    <w:rsid w:val="002C4102"/>
    <w:rsid w:val="002C45EC"/>
    <w:rsid w:val="002C5606"/>
    <w:rsid w:val="002C5AB9"/>
    <w:rsid w:val="002D5720"/>
    <w:rsid w:val="002D5731"/>
    <w:rsid w:val="002D71F7"/>
    <w:rsid w:val="002F3BDC"/>
    <w:rsid w:val="002F5ED4"/>
    <w:rsid w:val="002F659D"/>
    <w:rsid w:val="002F6A00"/>
    <w:rsid w:val="0030099E"/>
    <w:rsid w:val="00312248"/>
    <w:rsid w:val="0031547E"/>
    <w:rsid w:val="003156CF"/>
    <w:rsid w:val="00323228"/>
    <w:rsid w:val="00326383"/>
    <w:rsid w:val="0032699A"/>
    <w:rsid w:val="0033739D"/>
    <w:rsid w:val="00343CC5"/>
    <w:rsid w:val="00344F2F"/>
    <w:rsid w:val="00347722"/>
    <w:rsid w:val="00350B54"/>
    <w:rsid w:val="00354454"/>
    <w:rsid w:val="00373B64"/>
    <w:rsid w:val="00374527"/>
    <w:rsid w:val="00377491"/>
    <w:rsid w:val="003873BC"/>
    <w:rsid w:val="00391D14"/>
    <w:rsid w:val="003945BB"/>
    <w:rsid w:val="003A0890"/>
    <w:rsid w:val="003B1CF1"/>
    <w:rsid w:val="003B7017"/>
    <w:rsid w:val="003D1729"/>
    <w:rsid w:val="003D2967"/>
    <w:rsid w:val="003D714B"/>
    <w:rsid w:val="003E0176"/>
    <w:rsid w:val="003E05B7"/>
    <w:rsid w:val="003E0983"/>
    <w:rsid w:val="003E7F72"/>
    <w:rsid w:val="003F2B3E"/>
    <w:rsid w:val="003F2DF2"/>
    <w:rsid w:val="00400A4C"/>
    <w:rsid w:val="00412DA9"/>
    <w:rsid w:val="00413001"/>
    <w:rsid w:val="0041676D"/>
    <w:rsid w:val="004168BE"/>
    <w:rsid w:val="00420CD3"/>
    <w:rsid w:val="00427CA3"/>
    <w:rsid w:val="00431ABB"/>
    <w:rsid w:val="00436BB1"/>
    <w:rsid w:val="0044003C"/>
    <w:rsid w:val="004404AB"/>
    <w:rsid w:val="00443DDF"/>
    <w:rsid w:val="004554A7"/>
    <w:rsid w:val="004570B6"/>
    <w:rsid w:val="0046208F"/>
    <w:rsid w:val="00465910"/>
    <w:rsid w:val="00465942"/>
    <w:rsid w:val="00466554"/>
    <w:rsid w:val="00471FF1"/>
    <w:rsid w:val="0047552A"/>
    <w:rsid w:val="00482B32"/>
    <w:rsid w:val="00485C8D"/>
    <w:rsid w:val="00487249"/>
    <w:rsid w:val="004873CC"/>
    <w:rsid w:val="0049029B"/>
    <w:rsid w:val="004917B1"/>
    <w:rsid w:val="004941E3"/>
    <w:rsid w:val="004A1E76"/>
    <w:rsid w:val="004B2D23"/>
    <w:rsid w:val="004C2C44"/>
    <w:rsid w:val="004C45F0"/>
    <w:rsid w:val="004D10B1"/>
    <w:rsid w:val="004D7528"/>
    <w:rsid w:val="004E2602"/>
    <w:rsid w:val="004E7AEF"/>
    <w:rsid w:val="004F360F"/>
    <w:rsid w:val="005110FD"/>
    <w:rsid w:val="00521CF4"/>
    <w:rsid w:val="0052391B"/>
    <w:rsid w:val="005327CA"/>
    <w:rsid w:val="00543E19"/>
    <w:rsid w:val="00564424"/>
    <w:rsid w:val="005728AD"/>
    <w:rsid w:val="005744FE"/>
    <w:rsid w:val="0057574A"/>
    <w:rsid w:val="005765BB"/>
    <w:rsid w:val="00584F07"/>
    <w:rsid w:val="00590CAB"/>
    <w:rsid w:val="00595BCA"/>
    <w:rsid w:val="00597986"/>
    <w:rsid w:val="005A3A72"/>
    <w:rsid w:val="005A6CFE"/>
    <w:rsid w:val="005B0368"/>
    <w:rsid w:val="005B109C"/>
    <w:rsid w:val="005B34DF"/>
    <w:rsid w:val="005B49C0"/>
    <w:rsid w:val="005C0672"/>
    <w:rsid w:val="005C34C0"/>
    <w:rsid w:val="005C790F"/>
    <w:rsid w:val="005E1BF1"/>
    <w:rsid w:val="005E6189"/>
    <w:rsid w:val="005F69CE"/>
    <w:rsid w:val="0060219A"/>
    <w:rsid w:val="00604A1C"/>
    <w:rsid w:val="0062062D"/>
    <w:rsid w:val="00632834"/>
    <w:rsid w:val="00633EEE"/>
    <w:rsid w:val="00640537"/>
    <w:rsid w:val="00645EB0"/>
    <w:rsid w:val="00647454"/>
    <w:rsid w:val="0064BD88"/>
    <w:rsid w:val="0065018B"/>
    <w:rsid w:val="00651784"/>
    <w:rsid w:val="00655569"/>
    <w:rsid w:val="0067104D"/>
    <w:rsid w:val="00680538"/>
    <w:rsid w:val="006810CC"/>
    <w:rsid w:val="00682381"/>
    <w:rsid w:val="0068772F"/>
    <w:rsid w:val="006A0BE6"/>
    <w:rsid w:val="006A7B48"/>
    <w:rsid w:val="006B4E06"/>
    <w:rsid w:val="006B69F5"/>
    <w:rsid w:val="006C3ADC"/>
    <w:rsid w:val="006D0E55"/>
    <w:rsid w:val="006D26AA"/>
    <w:rsid w:val="006D33A2"/>
    <w:rsid w:val="006D6E35"/>
    <w:rsid w:val="006D7FA8"/>
    <w:rsid w:val="006E3464"/>
    <w:rsid w:val="006E752B"/>
    <w:rsid w:val="006F0F11"/>
    <w:rsid w:val="0070170A"/>
    <w:rsid w:val="00706086"/>
    <w:rsid w:val="007247A7"/>
    <w:rsid w:val="00725804"/>
    <w:rsid w:val="00725A56"/>
    <w:rsid w:val="0073110B"/>
    <w:rsid w:val="007349A5"/>
    <w:rsid w:val="00740B2C"/>
    <w:rsid w:val="00747A8F"/>
    <w:rsid w:val="007511D7"/>
    <w:rsid w:val="007576FE"/>
    <w:rsid w:val="00757F1B"/>
    <w:rsid w:val="007664F9"/>
    <w:rsid w:val="0076781E"/>
    <w:rsid w:val="007713AF"/>
    <w:rsid w:val="00771A9D"/>
    <w:rsid w:val="007756A4"/>
    <w:rsid w:val="007761B2"/>
    <w:rsid w:val="007804CA"/>
    <w:rsid w:val="0078292D"/>
    <w:rsid w:val="00784680"/>
    <w:rsid w:val="007859AD"/>
    <w:rsid w:val="007861F1"/>
    <w:rsid w:val="007873A1"/>
    <w:rsid w:val="007949EE"/>
    <w:rsid w:val="00794F00"/>
    <w:rsid w:val="007A032D"/>
    <w:rsid w:val="007A1A4C"/>
    <w:rsid w:val="007A4925"/>
    <w:rsid w:val="007A5665"/>
    <w:rsid w:val="007A7520"/>
    <w:rsid w:val="007B51FA"/>
    <w:rsid w:val="007B5C79"/>
    <w:rsid w:val="007B663C"/>
    <w:rsid w:val="007B6AF7"/>
    <w:rsid w:val="007C1470"/>
    <w:rsid w:val="007C37A3"/>
    <w:rsid w:val="007C6FE9"/>
    <w:rsid w:val="007D13A9"/>
    <w:rsid w:val="007D399E"/>
    <w:rsid w:val="007D3BAA"/>
    <w:rsid w:val="007E376F"/>
    <w:rsid w:val="007E5555"/>
    <w:rsid w:val="007E67E1"/>
    <w:rsid w:val="007E7960"/>
    <w:rsid w:val="007F4509"/>
    <w:rsid w:val="007F5A4E"/>
    <w:rsid w:val="00802900"/>
    <w:rsid w:val="00804571"/>
    <w:rsid w:val="00807C35"/>
    <w:rsid w:val="008121B1"/>
    <w:rsid w:val="00812E65"/>
    <w:rsid w:val="0081434E"/>
    <w:rsid w:val="008152D9"/>
    <w:rsid w:val="00820DCC"/>
    <w:rsid w:val="00823A5B"/>
    <w:rsid w:val="00825B2F"/>
    <w:rsid w:val="008407DD"/>
    <w:rsid w:val="008515BD"/>
    <w:rsid w:val="00855A9A"/>
    <w:rsid w:val="00855C9B"/>
    <w:rsid w:val="008607CC"/>
    <w:rsid w:val="008676F2"/>
    <w:rsid w:val="0087129C"/>
    <w:rsid w:val="0087145C"/>
    <w:rsid w:val="0089460F"/>
    <w:rsid w:val="00895A64"/>
    <w:rsid w:val="00895F93"/>
    <w:rsid w:val="008A6B97"/>
    <w:rsid w:val="008A7D9E"/>
    <w:rsid w:val="008B0689"/>
    <w:rsid w:val="008B151D"/>
    <w:rsid w:val="008B477C"/>
    <w:rsid w:val="008B49C9"/>
    <w:rsid w:val="008C0588"/>
    <w:rsid w:val="008C4784"/>
    <w:rsid w:val="008D0B06"/>
    <w:rsid w:val="008D263C"/>
    <w:rsid w:val="008D4B09"/>
    <w:rsid w:val="008E47C5"/>
    <w:rsid w:val="008E59DD"/>
    <w:rsid w:val="008E7609"/>
    <w:rsid w:val="008F5040"/>
    <w:rsid w:val="008F5EB3"/>
    <w:rsid w:val="00901973"/>
    <w:rsid w:val="00902B7A"/>
    <w:rsid w:val="00904DF1"/>
    <w:rsid w:val="00910B23"/>
    <w:rsid w:val="00913466"/>
    <w:rsid w:val="0091739F"/>
    <w:rsid w:val="00917D58"/>
    <w:rsid w:val="00917ED6"/>
    <w:rsid w:val="00924029"/>
    <w:rsid w:val="00926B2E"/>
    <w:rsid w:val="00934DEC"/>
    <w:rsid w:val="0093716C"/>
    <w:rsid w:val="00947017"/>
    <w:rsid w:val="00947B97"/>
    <w:rsid w:val="0095362B"/>
    <w:rsid w:val="00961793"/>
    <w:rsid w:val="00967DBD"/>
    <w:rsid w:val="009750F3"/>
    <w:rsid w:val="00987653"/>
    <w:rsid w:val="009968F8"/>
    <w:rsid w:val="00996DF5"/>
    <w:rsid w:val="009A0F88"/>
    <w:rsid w:val="009A419A"/>
    <w:rsid w:val="009A5822"/>
    <w:rsid w:val="009B2C22"/>
    <w:rsid w:val="009B331B"/>
    <w:rsid w:val="009B3A2A"/>
    <w:rsid w:val="009C0784"/>
    <w:rsid w:val="009C1FB5"/>
    <w:rsid w:val="009C3C48"/>
    <w:rsid w:val="009D488E"/>
    <w:rsid w:val="009E25A1"/>
    <w:rsid w:val="009E3C15"/>
    <w:rsid w:val="009E65E7"/>
    <w:rsid w:val="009F0F0C"/>
    <w:rsid w:val="009F70E2"/>
    <w:rsid w:val="00A0337A"/>
    <w:rsid w:val="00A0493B"/>
    <w:rsid w:val="00A10A1C"/>
    <w:rsid w:val="00A117B9"/>
    <w:rsid w:val="00A3091D"/>
    <w:rsid w:val="00A4776C"/>
    <w:rsid w:val="00A50394"/>
    <w:rsid w:val="00A540A1"/>
    <w:rsid w:val="00A540F1"/>
    <w:rsid w:val="00A621E4"/>
    <w:rsid w:val="00A65D6C"/>
    <w:rsid w:val="00A6664D"/>
    <w:rsid w:val="00A67C36"/>
    <w:rsid w:val="00A67F80"/>
    <w:rsid w:val="00A71544"/>
    <w:rsid w:val="00A7279D"/>
    <w:rsid w:val="00A72F5E"/>
    <w:rsid w:val="00A76077"/>
    <w:rsid w:val="00A81D78"/>
    <w:rsid w:val="00A8686F"/>
    <w:rsid w:val="00A9116A"/>
    <w:rsid w:val="00AA7A82"/>
    <w:rsid w:val="00AB55BC"/>
    <w:rsid w:val="00AB72B1"/>
    <w:rsid w:val="00AC5159"/>
    <w:rsid w:val="00AD04CD"/>
    <w:rsid w:val="00AD521F"/>
    <w:rsid w:val="00AD55BC"/>
    <w:rsid w:val="00AD7F54"/>
    <w:rsid w:val="00AE522A"/>
    <w:rsid w:val="00AF0D40"/>
    <w:rsid w:val="00AF2E9A"/>
    <w:rsid w:val="00AF313E"/>
    <w:rsid w:val="00AF390A"/>
    <w:rsid w:val="00AF7FA8"/>
    <w:rsid w:val="00B0004A"/>
    <w:rsid w:val="00B02315"/>
    <w:rsid w:val="00B034DC"/>
    <w:rsid w:val="00B050D9"/>
    <w:rsid w:val="00B123B2"/>
    <w:rsid w:val="00B12492"/>
    <w:rsid w:val="00B12563"/>
    <w:rsid w:val="00B24A0A"/>
    <w:rsid w:val="00B32A6D"/>
    <w:rsid w:val="00B45901"/>
    <w:rsid w:val="00B45F63"/>
    <w:rsid w:val="00B47335"/>
    <w:rsid w:val="00B537B5"/>
    <w:rsid w:val="00B629D5"/>
    <w:rsid w:val="00B63043"/>
    <w:rsid w:val="00B67A0E"/>
    <w:rsid w:val="00B72C29"/>
    <w:rsid w:val="00B8060D"/>
    <w:rsid w:val="00B81678"/>
    <w:rsid w:val="00B81BF1"/>
    <w:rsid w:val="00B86427"/>
    <w:rsid w:val="00B9246B"/>
    <w:rsid w:val="00B9719C"/>
    <w:rsid w:val="00B97EC9"/>
    <w:rsid w:val="00BA0EB5"/>
    <w:rsid w:val="00BA0F0F"/>
    <w:rsid w:val="00BA4B79"/>
    <w:rsid w:val="00BB3C21"/>
    <w:rsid w:val="00BC017E"/>
    <w:rsid w:val="00BC6229"/>
    <w:rsid w:val="00BD3FC0"/>
    <w:rsid w:val="00BD406B"/>
    <w:rsid w:val="00BE34A6"/>
    <w:rsid w:val="00BE36BF"/>
    <w:rsid w:val="00BE42CF"/>
    <w:rsid w:val="00BE6280"/>
    <w:rsid w:val="00BE6D17"/>
    <w:rsid w:val="00BF6415"/>
    <w:rsid w:val="00C13CE6"/>
    <w:rsid w:val="00C15180"/>
    <w:rsid w:val="00C313BC"/>
    <w:rsid w:val="00C31E02"/>
    <w:rsid w:val="00C323A6"/>
    <w:rsid w:val="00C330C0"/>
    <w:rsid w:val="00C338FF"/>
    <w:rsid w:val="00C37B97"/>
    <w:rsid w:val="00C42E5A"/>
    <w:rsid w:val="00C47A9D"/>
    <w:rsid w:val="00C548B3"/>
    <w:rsid w:val="00C55B6D"/>
    <w:rsid w:val="00C5777D"/>
    <w:rsid w:val="00C61D3F"/>
    <w:rsid w:val="00C67B43"/>
    <w:rsid w:val="00C70D34"/>
    <w:rsid w:val="00C8270A"/>
    <w:rsid w:val="00C875C4"/>
    <w:rsid w:val="00C87C87"/>
    <w:rsid w:val="00C91347"/>
    <w:rsid w:val="00C9472D"/>
    <w:rsid w:val="00C975CC"/>
    <w:rsid w:val="00CA1BDF"/>
    <w:rsid w:val="00CA4882"/>
    <w:rsid w:val="00CA4D69"/>
    <w:rsid w:val="00CC1A64"/>
    <w:rsid w:val="00CC1C82"/>
    <w:rsid w:val="00CC4C99"/>
    <w:rsid w:val="00CC526D"/>
    <w:rsid w:val="00CD3C37"/>
    <w:rsid w:val="00CD4BAC"/>
    <w:rsid w:val="00CD7B4D"/>
    <w:rsid w:val="00CE0FC6"/>
    <w:rsid w:val="00CE1116"/>
    <w:rsid w:val="00CE4CF6"/>
    <w:rsid w:val="00CE5072"/>
    <w:rsid w:val="00CE6863"/>
    <w:rsid w:val="00CE738F"/>
    <w:rsid w:val="00CF3C9A"/>
    <w:rsid w:val="00CF7A52"/>
    <w:rsid w:val="00D018C6"/>
    <w:rsid w:val="00D02CE7"/>
    <w:rsid w:val="00D04252"/>
    <w:rsid w:val="00D25BA9"/>
    <w:rsid w:val="00D27A75"/>
    <w:rsid w:val="00D32F8F"/>
    <w:rsid w:val="00D33D4D"/>
    <w:rsid w:val="00D40EA7"/>
    <w:rsid w:val="00D51E26"/>
    <w:rsid w:val="00D54958"/>
    <w:rsid w:val="00D6769D"/>
    <w:rsid w:val="00D70502"/>
    <w:rsid w:val="00D722BC"/>
    <w:rsid w:val="00D72876"/>
    <w:rsid w:val="00D76E86"/>
    <w:rsid w:val="00D808D0"/>
    <w:rsid w:val="00D92022"/>
    <w:rsid w:val="00D944A7"/>
    <w:rsid w:val="00D958E5"/>
    <w:rsid w:val="00D96FD6"/>
    <w:rsid w:val="00D97CAA"/>
    <w:rsid w:val="00DA0D73"/>
    <w:rsid w:val="00DA1A76"/>
    <w:rsid w:val="00DA2A1D"/>
    <w:rsid w:val="00DA45D5"/>
    <w:rsid w:val="00DA7F9A"/>
    <w:rsid w:val="00DB4A7C"/>
    <w:rsid w:val="00DB4AF2"/>
    <w:rsid w:val="00DE1257"/>
    <w:rsid w:val="00DE2B9C"/>
    <w:rsid w:val="00DE48D0"/>
    <w:rsid w:val="00DE7644"/>
    <w:rsid w:val="00DF2720"/>
    <w:rsid w:val="00DF5932"/>
    <w:rsid w:val="00DF6F3D"/>
    <w:rsid w:val="00DF7140"/>
    <w:rsid w:val="00E00D8E"/>
    <w:rsid w:val="00E020B7"/>
    <w:rsid w:val="00E16CD0"/>
    <w:rsid w:val="00E23F3C"/>
    <w:rsid w:val="00E25055"/>
    <w:rsid w:val="00E2758D"/>
    <w:rsid w:val="00E300CE"/>
    <w:rsid w:val="00E33EF5"/>
    <w:rsid w:val="00E44A94"/>
    <w:rsid w:val="00E45CB7"/>
    <w:rsid w:val="00E47210"/>
    <w:rsid w:val="00E5156C"/>
    <w:rsid w:val="00E52CAF"/>
    <w:rsid w:val="00E71A46"/>
    <w:rsid w:val="00E73DD3"/>
    <w:rsid w:val="00E73EC9"/>
    <w:rsid w:val="00E76444"/>
    <w:rsid w:val="00E8301D"/>
    <w:rsid w:val="00E842C6"/>
    <w:rsid w:val="00E94F96"/>
    <w:rsid w:val="00E95636"/>
    <w:rsid w:val="00EA35C3"/>
    <w:rsid w:val="00EB007C"/>
    <w:rsid w:val="00EB2C3E"/>
    <w:rsid w:val="00EB42FC"/>
    <w:rsid w:val="00EB7D1A"/>
    <w:rsid w:val="00EC433D"/>
    <w:rsid w:val="00EC5057"/>
    <w:rsid w:val="00ED0595"/>
    <w:rsid w:val="00ED2BDC"/>
    <w:rsid w:val="00EE2341"/>
    <w:rsid w:val="00EF594E"/>
    <w:rsid w:val="00EF6912"/>
    <w:rsid w:val="00F03652"/>
    <w:rsid w:val="00F04FBB"/>
    <w:rsid w:val="00F1106B"/>
    <w:rsid w:val="00F22F6D"/>
    <w:rsid w:val="00F2508D"/>
    <w:rsid w:val="00F253A5"/>
    <w:rsid w:val="00F272D1"/>
    <w:rsid w:val="00F32DC8"/>
    <w:rsid w:val="00F44BA4"/>
    <w:rsid w:val="00F45679"/>
    <w:rsid w:val="00F62893"/>
    <w:rsid w:val="00F661EF"/>
    <w:rsid w:val="00F66714"/>
    <w:rsid w:val="00F67934"/>
    <w:rsid w:val="00F71657"/>
    <w:rsid w:val="00F730F8"/>
    <w:rsid w:val="00F754E5"/>
    <w:rsid w:val="00F80679"/>
    <w:rsid w:val="00F85072"/>
    <w:rsid w:val="00F95729"/>
    <w:rsid w:val="00F97563"/>
    <w:rsid w:val="00FA1E20"/>
    <w:rsid w:val="00FA6726"/>
    <w:rsid w:val="00FA7699"/>
    <w:rsid w:val="00FA7B39"/>
    <w:rsid w:val="00FB08CD"/>
    <w:rsid w:val="00FB5F83"/>
    <w:rsid w:val="00FC1692"/>
    <w:rsid w:val="00FC456D"/>
    <w:rsid w:val="00FC5C66"/>
    <w:rsid w:val="00FD0C6B"/>
    <w:rsid w:val="00FD64AB"/>
    <w:rsid w:val="00FD6F34"/>
    <w:rsid w:val="00FE737D"/>
    <w:rsid w:val="02A6BF63"/>
    <w:rsid w:val="02FB2EBE"/>
    <w:rsid w:val="039BC3C0"/>
    <w:rsid w:val="04383AB5"/>
    <w:rsid w:val="0439526D"/>
    <w:rsid w:val="0479FBB0"/>
    <w:rsid w:val="05089201"/>
    <w:rsid w:val="0537D570"/>
    <w:rsid w:val="058E86C9"/>
    <w:rsid w:val="05F8526E"/>
    <w:rsid w:val="06DDA857"/>
    <w:rsid w:val="071DD912"/>
    <w:rsid w:val="08678E2E"/>
    <w:rsid w:val="087D2A61"/>
    <w:rsid w:val="090E5C29"/>
    <w:rsid w:val="093A8F99"/>
    <w:rsid w:val="09820A92"/>
    <w:rsid w:val="0A8CE11C"/>
    <w:rsid w:val="0A8CEBE7"/>
    <w:rsid w:val="0ACEDC48"/>
    <w:rsid w:val="0ADC5FC2"/>
    <w:rsid w:val="0BB86264"/>
    <w:rsid w:val="0C4F2E98"/>
    <w:rsid w:val="0D4BFA9C"/>
    <w:rsid w:val="0E3C56CF"/>
    <w:rsid w:val="0EBB64D9"/>
    <w:rsid w:val="1057E755"/>
    <w:rsid w:val="10DB4121"/>
    <w:rsid w:val="114CDBBB"/>
    <w:rsid w:val="13415D4F"/>
    <w:rsid w:val="1435D2C6"/>
    <w:rsid w:val="14463FDB"/>
    <w:rsid w:val="146F0CDD"/>
    <w:rsid w:val="147AB00B"/>
    <w:rsid w:val="15039059"/>
    <w:rsid w:val="1686E0FC"/>
    <w:rsid w:val="16B2AEF9"/>
    <w:rsid w:val="170A2236"/>
    <w:rsid w:val="1756458A"/>
    <w:rsid w:val="175966E8"/>
    <w:rsid w:val="1783BBB0"/>
    <w:rsid w:val="17984723"/>
    <w:rsid w:val="17F2511E"/>
    <w:rsid w:val="18A0F9D6"/>
    <w:rsid w:val="1AAA1AC2"/>
    <w:rsid w:val="1B5A09EF"/>
    <w:rsid w:val="1C1A0F44"/>
    <w:rsid w:val="1C4626FD"/>
    <w:rsid w:val="1C9EDC66"/>
    <w:rsid w:val="1DD96C4A"/>
    <w:rsid w:val="201994C3"/>
    <w:rsid w:val="20F672D3"/>
    <w:rsid w:val="2180D00A"/>
    <w:rsid w:val="2258FF8D"/>
    <w:rsid w:val="235B5E0B"/>
    <w:rsid w:val="238BA234"/>
    <w:rsid w:val="23FFC907"/>
    <w:rsid w:val="24E032F7"/>
    <w:rsid w:val="252D0A43"/>
    <w:rsid w:val="259BF183"/>
    <w:rsid w:val="26605317"/>
    <w:rsid w:val="26B4C65A"/>
    <w:rsid w:val="27B83C25"/>
    <w:rsid w:val="27FECD3E"/>
    <w:rsid w:val="28F3E5CE"/>
    <w:rsid w:val="29FD4F6C"/>
    <w:rsid w:val="2A2B43A0"/>
    <w:rsid w:val="2B50B238"/>
    <w:rsid w:val="2BD7C84A"/>
    <w:rsid w:val="2C0BEDB8"/>
    <w:rsid w:val="2DD6F4A9"/>
    <w:rsid w:val="2E335AF8"/>
    <w:rsid w:val="2E55AABF"/>
    <w:rsid w:val="2FE8C1AB"/>
    <w:rsid w:val="304A5860"/>
    <w:rsid w:val="30A34963"/>
    <w:rsid w:val="30B03295"/>
    <w:rsid w:val="3163DB3B"/>
    <w:rsid w:val="3170F383"/>
    <w:rsid w:val="317825B0"/>
    <w:rsid w:val="33B3767A"/>
    <w:rsid w:val="341F2A17"/>
    <w:rsid w:val="345C907B"/>
    <w:rsid w:val="35809E7A"/>
    <w:rsid w:val="362D61F1"/>
    <w:rsid w:val="37137ABE"/>
    <w:rsid w:val="379487D3"/>
    <w:rsid w:val="38472C74"/>
    <w:rsid w:val="3A03E446"/>
    <w:rsid w:val="3A7EBC3E"/>
    <w:rsid w:val="3C010257"/>
    <w:rsid w:val="3D4E2B19"/>
    <w:rsid w:val="3E6E185D"/>
    <w:rsid w:val="3EEE546C"/>
    <w:rsid w:val="3F5F63DD"/>
    <w:rsid w:val="3F6BFC43"/>
    <w:rsid w:val="3F92D427"/>
    <w:rsid w:val="4046AF76"/>
    <w:rsid w:val="41CA08FD"/>
    <w:rsid w:val="43C01CBD"/>
    <w:rsid w:val="43FC2A55"/>
    <w:rsid w:val="44AF5ED7"/>
    <w:rsid w:val="44E2A179"/>
    <w:rsid w:val="45A871F0"/>
    <w:rsid w:val="4675CC7D"/>
    <w:rsid w:val="46DE228F"/>
    <w:rsid w:val="46EB1BF3"/>
    <w:rsid w:val="4725FDE6"/>
    <w:rsid w:val="47719D72"/>
    <w:rsid w:val="489A77A4"/>
    <w:rsid w:val="48A6B0F2"/>
    <w:rsid w:val="48EFC8D8"/>
    <w:rsid w:val="48F25268"/>
    <w:rsid w:val="49116419"/>
    <w:rsid w:val="4A3C1867"/>
    <w:rsid w:val="4AA8808E"/>
    <w:rsid w:val="4B1BE417"/>
    <w:rsid w:val="4B20295A"/>
    <w:rsid w:val="4B21FF8F"/>
    <w:rsid w:val="4B2FC393"/>
    <w:rsid w:val="4E14F866"/>
    <w:rsid w:val="4E4C0748"/>
    <w:rsid w:val="522F7DB1"/>
    <w:rsid w:val="52AFDF14"/>
    <w:rsid w:val="53EBEB05"/>
    <w:rsid w:val="5490F3F9"/>
    <w:rsid w:val="549190C0"/>
    <w:rsid w:val="55723E63"/>
    <w:rsid w:val="55A212EC"/>
    <w:rsid w:val="56F63298"/>
    <w:rsid w:val="580796F2"/>
    <w:rsid w:val="58906ABA"/>
    <w:rsid w:val="5935DF0F"/>
    <w:rsid w:val="59EED3E4"/>
    <w:rsid w:val="59F146E9"/>
    <w:rsid w:val="5A61212F"/>
    <w:rsid w:val="5A8614BD"/>
    <w:rsid w:val="5AD9D879"/>
    <w:rsid w:val="5B0377D2"/>
    <w:rsid w:val="5B74C91A"/>
    <w:rsid w:val="5C5BBF88"/>
    <w:rsid w:val="5C994150"/>
    <w:rsid w:val="5D1D2809"/>
    <w:rsid w:val="5D9F5596"/>
    <w:rsid w:val="5DA47D89"/>
    <w:rsid w:val="5E605504"/>
    <w:rsid w:val="60FCA51C"/>
    <w:rsid w:val="6189ACF8"/>
    <w:rsid w:val="62142896"/>
    <w:rsid w:val="63BDDB24"/>
    <w:rsid w:val="6421F167"/>
    <w:rsid w:val="646B36CC"/>
    <w:rsid w:val="64BFE193"/>
    <w:rsid w:val="6531C926"/>
    <w:rsid w:val="6706096F"/>
    <w:rsid w:val="67DDC656"/>
    <w:rsid w:val="67F04679"/>
    <w:rsid w:val="6834158A"/>
    <w:rsid w:val="684367E8"/>
    <w:rsid w:val="687DC9F6"/>
    <w:rsid w:val="68900E21"/>
    <w:rsid w:val="68B942B1"/>
    <w:rsid w:val="6920C95B"/>
    <w:rsid w:val="69299529"/>
    <w:rsid w:val="6959E697"/>
    <w:rsid w:val="6A678687"/>
    <w:rsid w:val="6C840D8B"/>
    <w:rsid w:val="6D6C1804"/>
    <w:rsid w:val="6D6E3CA5"/>
    <w:rsid w:val="6D835E17"/>
    <w:rsid w:val="6DEBDCFA"/>
    <w:rsid w:val="6F52B4AF"/>
    <w:rsid w:val="706189BC"/>
    <w:rsid w:val="708A4A4C"/>
    <w:rsid w:val="70D6AB75"/>
    <w:rsid w:val="7101E23D"/>
    <w:rsid w:val="7207D6D1"/>
    <w:rsid w:val="722AE9BF"/>
    <w:rsid w:val="74575BDD"/>
    <w:rsid w:val="749E261E"/>
    <w:rsid w:val="75A65EEF"/>
    <w:rsid w:val="76032750"/>
    <w:rsid w:val="762484A8"/>
    <w:rsid w:val="76F4A37C"/>
    <w:rsid w:val="77BE7C75"/>
    <w:rsid w:val="7823E012"/>
    <w:rsid w:val="79C5C2DC"/>
    <w:rsid w:val="7A28C27B"/>
    <w:rsid w:val="7A308882"/>
    <w:rsid w:val="7ABC9B3E"/>
    <w:rsid w:val="7B4184FB"/>
    <w:rsid w:val="7BDA0980"/>
    <w:rsid w:val="7E811730"/>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B4DAA"/>
  <w15:docId w15:val="{B49E2855-6907-47C8-BBEE-97D10FD8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240" w:after="120"/>
      <w:outlineLvl w:val="0"/>
    </w:pPr>
    <w:rPr>
      <w:b/>
      <w:bCs/>
    </w:rPr>
  </w:style>
  <w:style w:type="paragraph" w:styleId="Ttulo2">
    <w:name w:val="heading 2"/>
    <w:uiPriority w:val="9"/>
    <w:semiHidden/>
    <w:unhideWhenUsed/>
    <w:qFormat/>
    <w:pPr>
      <w:spacing w:before="200" w:after="100"/>
      <w:outlineLvl w:val="1"/>
    </w:pPr>
    <w:rPr>
      <w:i/>
      <w:iCs/>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Fuerte1">
    <w:name w:val="Fuerte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character" w:customStyle="1" w:styleId="TextonotapieCar1">
    <w:name w:val="Texto nota pie Car1"/>
    <w:basedOn w:val="Fuentedeprrafopredeter"/>
    <w:link w:val="Textonotapie"/>
    <w:uiPriority w:val="99"/>
    <w:semiHidden/>
    <w:rsid w:val="00F03652"/>
    <w:rPr>
      <w:sz w:val="20"/>
      <w:szCs w:val="20"/>
    </w:rPr>
  </w:style>
  <w:style w:type="paragraph" w:styleId="Textonotapie">
    <w:name w:val="footnote text"/>
    <w:basedOn w:val="Normal"/>
    <w:link w:val="TextonotapieCar1"/>
    <w:uiPriority w:val="99"/>
    <w:semiHidden/>
    <w:unhideWhenUsed/>
    <w:rPr>
      <w:sz w:val="20"/>
      <w:szCs w:val="20"/>
    </w:rPr>
  </w:style>
  <w:style w:type="paragraph" w:styleId="Encabezado">
    <w:name w:val="header"/>
    <w:basedOn w:val="Normal"/>
    <w:link w:val="EncabezadoCar"/>
    <w:uiPriority w:val="99"/>
    <w:unhideWhenUsed/>
    <w:rsid w:val="00C87C87"/>
    <w:pPr>
      <w:tabs>
        <w:tab w:val="center" w:pos="4252"/>
        <w:tab w:val="right" w:pos="8504"/>
      </w:tabs>
    </w:pPr>
  </w:style>
  <w:style w:type="character" w:customStyle="1" w:styleId="EncabezadoCar">
    <w:name w:val="Encabezado Car"/>
    <w:basedOn w:val="Fuentedeprrafopredeter"/>
    <w:link w:val="Encabezado"/>
    <w:uiPriority w:val="99"/>
    <w:rsid w:val="00C87C87"/>
  </w:style>
  <w:style w:type="paragraph" w:styleId="Piedepgina">
    <w:name w:val="footer"/>
    <w:basedOn w:val="Normal"/>
    <w:link w:val="PiedepginaCar"/>
    <w:uiPriority w:val="99"/>
    <w:unhideWhenUsed/>
    <w:rsid w:val="00C87C87"/>
    <w:pPr>
      <w:tabs>
        <w:tab w:val="center" w:pos="4252"/>
        <w:tab w:val="right" w:pos="8504"/>
      </w:tabs>
    </w:pPr>
  </w:style>
  <w:style w:type="character" w:customStyle="1" w:styleId="PiedepginaCar">
    <w:name w:val="Pie de página Car"/>
    <w:basedOn w:val="Fuentedeprrafopredeter"/>
    <w:link w:val="Piedepgina"/>
    <w:uiPriority w:val="99"/>
    <w:rsid w:val="00C87C87"/>
  </w:style>
  <w:style w:type="character" w:customStyle="1" w:styleId="TextonotapieCar">
    <w:name w:val="Texto nota pie Car"/>
    <w:uiPriority w:val="99"/>
    <w:semiHidden/>
    <w:unhideWhenUsed/>
    <w:rsid w:val="00C87C87"/>
    <w:rPr>
      <w:sz w:val="20"/>
      <w:szCs w:val="20"/>
    </w:rPr>
  </w:style>
  <w:style w:type="table" w:styleId="Tablaconcuadrcula">
    <w:name w:val="Table Grid"/>
    <w:basedOn w:val="Tablanormal"/>
    <w:uiPriority w:val="59"/>
    <w:rsid w:val="00C87C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894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ndecopi.gob.p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b.pe/institucion/smv/informes-publicaciones/6377638-manual-de-derechos-de-los-asociados?utm_source=chatgpt.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b.pe/institucion/indecopi/normas-legales/1244218-29571?utm_source=chatgpt.com" TargetMode="External"/><Relationship Id="rId2" Type="http://schemas.openxmlformats.org/officeDocument/2006/relationships/hyperlink" Target="https://www.gob.pe/institucion/smv/normas-legales/3947541-020-2014?utm_source=chatgpt.com" TargetMode="External"/><Relationship Id="rId1" Type="http://schemas.openxmlformats.org/officeDocument/2006/relationships/hyperlink" Target="https://www.gob.pe/institucion/smv/informes-publicaciones/6377638-manual-de-derechos-de-los-asociados?utm_source=chatgp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B24E8-86C0-4B0D-AB54-2893660F5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2835</Words>
  <Characters>15740</Characters>
  <Application>Microsoft Office Word</Application>
  <DocSecurity>0</DocSecurity>
  <Lines>342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Marketing</cp:lastModifiedBy>
  <cp:revision>2</cp:revision>
  <dcterms:created xsi:type="dcterms:W3CDTF">2026-03-30T19:58:00Z</dcterms:created>
  <dcterms:modified xsi:type="dcterms:W3CDTF">2026-03-30T19:58:00Z</dcterms:modified>
</cp:coreProperties>
</file>